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973BF3" w:rsidRPr="00973BF3" w14:paraId="5668B5F7" w14:textId="77777777" w:rsidTr="00973BF3">
        <w:trPr>
          <w:tblCellSpacing w:w="0" w:type="dxa"/>
        </w:trPr>
        <w:tc>
          <w:tcPr>
            <w:tcW w:w="0" w:type="auto"/>
            <w:vAlign w:val="center"/>
            <w:hideMark/>
          </w:tcPr>
          <w:tbl>
            <w:tblPr>
              <w:tblW w:w="5000" w:type="pct"/>
              <w:jc w:val="center"/>
              <w:tblCellSpacing w:w="0" w:type="dxa"/>
              <w:shd w:val="clear" w:color="auto" w:fill="E6E6E6"/>
              <w:tblCellMar>
                <w:left w:w="0" w:type="dxa"/>
                <w:right w:w="0" w:type="dxa"/>
              </w:tblCellMar>
              <w:tblLook w:val="04A0" w:firstRow="1" w:lastRow="0" w:firstColumn="1" w:lastColumn="0" w:noHBand="0" w:noVBand="1"/>
            </w:tblPr>
            <w:tblGrid>
              <w:gridCol w:w="9360"/>
            </w:tblGrid>
            <w:tr w:rsidR="00973BF3" w:rsidRPr="00973BF3" w14:paraId="54AEF87C" w14:textId="77777777" w:rsidTr="00973BF3">
              <w:trPr>
                <w:tblCellSpacing w:w="0" w:type="dxa"/>
                <w:jc w:val="center"/>
              </w:trPr>
              <w:tc>
                <w:tcPr>
                  <w:tcW w:w="0" w:type="auto"/>
                  <w:shd w:val="clear" w:color="auto" w:fill="E6E6E6"/>
                  <w:vAlign w:val="center"/>
                  <w:hideMark/>
                </w:tcPr>
                <w:tbl>
                  <w:tblPr>
                    <w:tblW w:w="9150" w:type="dxa"/>
                    <w:jc w:val="center"/>
                    <w:tblCellSpacing w:w="0" w:type="dxa"/>
                    <w:tblCellMar>
                      <w:left w:w="0" w:type="dxa"/>
                      <w:right w:w="0" w:type="dxa"/>
                    </w:tblCellMar>
                    <w:tblLook w:val="04A0" w:firstRow="1" w:lastRow="0" w:firstColumn="1" w:lastColumn="0" w:noHBand="0" w:noVBand="1"/>
                  </w:tblPr>
                  <w:tblGrid>
                    <w:gridCol w:w="9150"/>
                  </w:tblGrid>
                  <w:tr w:rsidR="00973BF3" w:rsidRPr="00973BF3" w14:paraId="49639935" w14:textId="77777777">
                    <w:trPr>
                      <w:tblCellSpacing w:w="0" w:type="dxa"/>
                      <w:jc w:val="center"/>
                    </w:trPr>
                    <w:tc>
                      <w:tcPr>
                        <w:tcW w:w="0" w:type="auto"/>
                        <w:tcMar>
                          <w:top w:w="225" w:type="dxa"/>
                          <w:left w:w="75" w:type="dxa"/>
                          <w:bottom w:w="225" w:type="dxa"/>
                          <w:right w:w="75"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973BF3" w:rsidRPr="00973BF3" w14:paraId="33809B6C" w14:textId="77777777">
                          <w:trPr>
                            <w:tblCellSpacing w:w="0" w:type="dxa"/>
                            <w:jc w:val="center"/>
                          </w:trPr>
                          <w:tc>
                            <w:tcPr>
                              <w:tcW w:w="0" w:type="auto"/>
                              <w:shd w:val="clear" w:color="auto" w:fill="869198"/>
                              <w:hideMark/>
                            </w:tcPr>
                            <w:tbl>
                              <w:tblPr>
                                <w:tblW w:w="5000" w:type="pct"/>
                                <w:jc w:val="center"/>
                                <w:tblCellSpacing w:w="0" w:type="dxa"/>
                                <w:shd w:val="clear" w:color="auto" w:fill="869198"/>
                                <w:tblCellMar>
                                  <w:left w:w="0" w:type="dxa"/>
                                  <w:right w:w="0" w:type="dxa"/>
                                </w:tblCellMar>
                                <w:tblLook w:val="04A0" w:firstRow="1" w:lastRow="0" w:firstColumn="1" w:lastColumn="0" w:noHBand="0" w:noVBand="1"/>
                              </w:tblPr>
                              <w:tblGrid>
                                <w:gridCol w:w="9000"/>
                              </w:tblGrid>
                              <w:tr w:rsidR="00973BF3" w:rsidRPr="00973BF3" w14:paraId="1EE0F459" w14:textId="77777777">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973BF3" w:rsidRPr="00973BF3" w14:paraId="075FD97F" w14:textId="77777777" w:rsidTr="00973BF3">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973BF3" w:rsidRPr="00973BF3" w14:paraId="2E196994" w14:textId="77777777" w:rsidTr="00973BF3">
                                            <w:trPr>
                                              <w:tblCellSpacing w:w="0" w:type="dxa"/>
                                            </w:trPr>
                                            <w:tc>
                                              <w:tcPr>
                                                <w:tcW w:w="0" w:type="auto"/>
                                                <w:tcMar>
                                                  <w:top w:w="150" w:type="dxa"/>
                                                  <w:left w:w="300" w:type="dxa"/>
                                                  <w:bottom w:w="150" w:type="dxa"/>
                                                  <w:right w:w="300" w:type="dxa"/>
                                                </w:tcMar>
                                                <w:hideMark/>
                                              </w:tcPr>
                                              <w:p w14:paraId="3959337F" w14:textId="77777777" w:rsidR="00973BF3" w:rsidRPr="00973BF3" w:rsidRDefault="00973BF3" w:rsidP="00973BF3">
                                                <w:pPr>
                                                  <w:spacing w:after="0" w:line="240" w:lineRule="auto"/>
                                                  <w:jc w:val="both"/>
                                                  <w:rPr>
                                                    <w:rFonts w:ascii="Arial" w:eastAsia="Times New Roman" w:hAnsi="Arial" w:cs="Arial"/>
                                                    <w:color w:val="403F42"/>
                                                    <w:sz w:val="21"/>
                                                    <w:szCs w:val="21"/>
                                                  </w:rPr>
                                                </w:pPr>
                                                <w:bookmarkStart w:id="0" w:name="_GoBack"/>
                                                <w:bookmarkEnd w:id="0"/>
                                                <w:r w:rsidRPr="00973BF3">
                                                  <w:rPr>
                                                    <w:rFonts w:ascii="Arial" w:eastAsia="Times New Roman" w:hAnsi="Arial" w:cs="Arial"/>
                                                    <w:color w:val="403F42"/>
                                                    <w:sz w:val="21"/>
                                                    <w:szCs w:val="21"/>
                                                  </w:rPr>
                                                  <w:t>The COVID-19 virus could be the single greatest threat to business continuity over the next 12-18 months and has caused us to re-evaluate how we work. Manufacturers are looking for ways to keep employees, customers, suppliers and their communities healthy. Expectations are that this global pandemic could last months, and employers need to develop strategies to protect employees and their ability to conduct business for a sustained period. Manufacturers are coming together to share their best practices. Here is a summary of those best practices. </w:t>
                                                </w:r>
                                                <w:r w:rsidRPr="00973BF3">
                                                  <w:rPr>
                                                    <w:rFonts w:ascii="Arial" w:eastAsia="Times New Roman" w:hAnsi="Arial" w:cs="Arial"/>
                                                    <w:color w:val="403F42"/>
                                                    <w:sz w:val="21"/>
                                                    <w:szCs w:val="21"/>
                                                    <w:u w:val="single"/>
                                                  </w:rPr>
                                                  <w:t>These are not designed to be for every manufacturer but an example that could be adopted/modified for your business:</w:t>
                                                </w:r>
                                              </w:p>
                                            </w:tc>
                                          </w:tr>
                                          <w:tr w:rsidR="00973BF3" w:rsidRPr="00973BF3" w14:paraId="20CBC9B4" w14:textId="77777777">
                                            <w:trPr>
                                              <w:tblCellSpacing w:w="0" w:type="dxa"/>
                                            </w:trPr>
                                            <w:tc>
                                              <w:tcPr>
                                                <w:tcW w:w="0" w:type="auto"/>
                                                <w:tcMar>
                                                  <w:top w:w="150" w:type="dxa"/>
                                                  <w:left w:w="300" w:type="dxa"/>
                                                  <w:bottom w:w="150" w:type="dxa"/>
                                                  <w:right w:w="300" w:type="dxa"/>
                                                </w:tcMar>
                                                <w:hideMark/>
                                              </w:tcPr>
                                              <w:p w14:paraId="1FF40F76" w14:textId="2201FF1C"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Meet with all employees and discuss good hygiene habits such as washing hands with soap and water for at least 20 seconds. Hand sanitation should occur every 30 minutes. Coughs and sneezes should occur in the elbow and employees need to refrain from touching their eyes, mouth and face. Remind employees of these good habits daily if possible.</w:t>
                                                </w:r>
                                              </w:p>
                                              <w:p w14:paraId="41A4A007" w14:textId="77777777" w:rsidR="00973BF3" w:rsidRPr="00973BF3" w:rsidRDefault="00973BF3" w:rsidP="00973BF3">
                                                <w:pPr>
                                                  <w:spacing w:before="100" w:beforeAutospacing="1" w:after="100" w:afterAutospacing="1" w:line="240" w:lineRule="auto"/>
                                                  <w:ind w:left="945"/>
                                                  <w:jc w:val="both"/>
                                                  <w:rPr>
                                                    <w:rFonts w:ascii="Arial" w:eastAsia="Times New Roman" w:hAnsi="Arial" w:cs="Arial"/>
                                                    <w:color w:val="403F42"/>
                                                    <w:sz w:val="21"/>
                                                    <w:szCs w:val="21"/>
                                                  </w:rPr>
                                                </w:pPr>
                                              </w:p>
                                              <w:p w14:paraId="7101DA49" w14:textId="639BF1A0"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Increase hand sanitizers availability throughout the facility with sanitizer that is at least 60% alcohol content.</w:t>
                                                </w:r>
                                              </w:p>
                                              <w:p w14:paraId="70917318"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6F201A1A" w14:textId="76692358"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Implement workstation disinfection every work shift. Desks, benches, computers, keyboards, tools, phones, etc., should be cleaned with disinfectant each work shift. For shared workstations the off-going shift wipes down and disinfects their workstation at the end of the shift and then the on-coming shift also wipes down and disinfects the workstation prior to work.</w:t>
                                                </w:r>
                                              </w:p>
                                              <w:p w14:paraId="3A7DE97F"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3D9653C0" w14:textId="66BB1CC5"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Increase cleaning in “high touch” areas to every 2 hours. These areas are doorknobs, bathrooms and cafeterias/break rooms.</w:t>
                                                </w:r>
                                              </w:p>
                                              <w:p w14:paraId="334BA987"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4B17D3C7" w14:textId="173B1194"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Implement a 6 ft social distance policy wherever possible. No handshakes, fist bumps or any physical touching. Use phones and radios for communicating even when in the same area.</w:t>
                                                </w:r>
                                              </w:p>
                                              <w:p w14:paraId="501E2638"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6C2449C3" w14:textId="1C37DE91"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Cancel or postpone any large meetings. Limit meetings to no more than 25 people. These include all Team Member/Town Hall Meetings, Sales conferences, etc. Encourage teleconferences/webinars even if attendees are in the facility.</w:t>
                                                </w:r>
                                              </w:p>
                                              <w:p w14:paraId="266233B3"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33E08E4F" w14:textId="44E469D7"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lastRenderedPageBreak/>
                                                  <w:t>Close break rooms and cafeterias and have employees bring lunches from home and eat at workstation if possible. If not possible, rotate lunches to reduce the number of employees in the break room/cafeteria at one time. </w:t>
                                                </w:r>
                                              </w:p>
                                              <w:p w14:paraId="09BD3034"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67B6384F" w14:textId="20C220B9" w:rsidR="00973BF3" w:rsidRDefault="00973BF3" w:rsidP="006416A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Implement a “work-from-home” policy for those positions that can be conducted remotely. Use a conferencing software to keep employees engaged and productive.</w:t>
                                                </w:r>
                                              </w:p>
                                              <w:p w14:paraId="526E2C14"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549B21CA" w14:textId="2C6A0577"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Review sick leave and attendance policies. Inform employees to not to come to work if they experience any symptoms or if someone in their household has experienced one or more of the symptoms.</w:t>
                                                </w:r>
                                              </w:p>
                                              <w:p w14:paraId="7A6077F9"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5E6C1C38" w14:textId="0BDFB8F8"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Initiate a ban on travel to all high-risk areas. Restrict all non-essential travel to other areas.</w:t>
                                                </w:r>
                                              </w:p>
                                              <w:p w14:paraId="20C7B5CC"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74838860" w14:textId="2070242E"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Request employees to voluntarily inform you of personal travel. Any employee traveling to a high-risk area or highly populated area (Disney World, cruises, spring break locations) consider a 14-day leave for employees affected.</w:t>
                                                </w:r>
                                              </w:p>
                                              <w:p w14:paraId="0928C810"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40F2A40B" w14:textId="662B7EDF"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Restrict non-essential visitors and cancel tours. Have essential visitors complete a self-assessment questionnaire.</w:t>
                                                </w:r>
                                              </w:p>
                                              <w:p w14:paraId="2DAF1B90" w14:textId="77777777"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p>
                                              <w:p w14:paraId="043A9F14" w14:textId="77777777"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 xml:space="preserve">Relocate interview/recruiting efforts to off-site. Explain the “no-handshake” policy to recruits so that they understand your policy. Have </w:t>
                                                </w:r>
                                                <w:proofErr w:type="gramStart"/>
                                                <w:r w:rsidRPr="00973BF3">
                                                  <w:rPr>
                                                    <w:rFonts w:ascii="Arial" w:eastAsia="Times New Roman" w:hAnsi="Arial" w:cs="Arial"/>
                                                    <w:color w:val="403F42"/>
                                                    <w:sz w:val="21"/>
                                                    <w:szCs w:val="21"/>
                                                  </w:rPr>
                                                  <w:t>candidates</w:t>
                                                </w:r>
                                                <w:proofErr w:type="gramEnd"/>
                                                <w:r w:rsidRPr="00973BF3">
                                                  <w:rPr>
                                                    <w:rFonts w:ascii="Arial" w:eastAsia="Times New Roman" w:hAnsi="Arial" w:cs="Arial"/>
                                                    <w:color w:val="403F42"/>
                                                    <w:sz w:val="21"/>
                                                    <w:szCs w:val="21"/>
                                                  </w:rPr>
                                                  <w:t xml:space="preserve"> complete visitor self-assessment prior to interview</w:t>
                                                </w:r>
                                              </w:p>
                                              <w:p w14:paraId="135150CB" w14:textId="594341A8" w:rsidR="00973BF3" w:rsidRPr="00973BF3" w:rsidRDefault="00973BF3" w:rsidP="00973BF3">
                                                <w:pPr>
                                                  <w:spacing w:before="100" w:beforeAutospacing="1" w:after="100" w:afterAutospacing="1" w:line="240" w:lineRule="auto"/>
                                                  <w:jc w:val="both"/>
                                                  <w:rPr>
                                                    <w:rFonts w:ascii="Arial" w:eastAsia="Times New Roman" w:hAnsi="Arial" w:cs="Arial"/>
                                                    <w:color w:val="403F42"/>
                                                    <w:sz w:val="21"/>
                                                    <w:szCs w:val="21"/>
                                                  </w:rPr>
                                                </w:pPr>
                                                <w:r w:rsidRPr="00973BF3">
                                                  <w:rPr>
                                                    <w:rFonts w:ascii="Arial" w:eastAsia="Times New Roman" w:hAnsi="Arial" w:cs="Arial"/>
                                                    <w:color w:val="403F42"/>
                                                    <w:sz w:val="21"/>
                                                    <w:szCs w:val="21"/>
                                                  </w:rPr>
                                                  <w:t>.</w:t>
                                                </w:r>
                                              </w:p>
                                              <w:p w14:paraId="6D1199FA" w14:textId="7D9E461B" w:rsid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Prepare an isolation room that is equipped for employees exhibiting symptoms until they can get to a healthcare provider.</w:t>
                                                </w:r>
                                              </w:p>
                                              <w:p w14:paraId="3BF4718B" w14:textId="77777777" w:rsidR="00973BF3" w:rsidRPr="00973BF3" w:rsidRDefault="00973BF3" w:rsidP="00973BF3">
                                                <w:pPr>
                                                  <w:spacing w:before="100" w:beforeAutospacing="1" w:after="100" w:afterAutospacing="1" w:line="240" w:lineRule="auto"/>
                                                  <w:ind w:left="945"/>
                                                  <w:jc w:val="both"/>
                                                  <w:rPr>
                                                    <w:rFonts w:ascii="Arial" w:eastAsia="Times New Roman" w:hAnsi="Arial" w:cs="Arial"/>
                                                    <w:color w:val="403F42"/>
                                                    <w:sz w:val="21"/>
                                                    <w:szCs w:val="21"/>
                                                  </w:rPr>
                                                </w:pPr>
                                              </w:p>
                                              <w:p w14:paraId="42333B89" w14:textId="77777777" w:rsidR="00973BF3" w:rsidRP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Ensure you have proper PPE, gloves, masks, safety glasses for first responders who may have contact with affected employees.</w:t>
                                                </w:r>
                                              </w:p>
                                              <w:p w14:paraId="427FD3E8" w14:textId="77777777" w:rsidR="00973BF3" w:rsidRPr="00973BF3" w:rsidRDefault="00973BF3" w:rsidP="00973BF3">
                                                <w:pPr>
                                                  <w:numPr>
                                                    <w:ilvl w:val="0"/>
                                                    <w:numId w:val="1"/>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lastRenderedPageBreak/>
                                                  <w:t>Share your procedures with your supply chain, review their policies and procedures and ensure vendors have a business continuity plan.</w:t>
                                                </w:r>
                                              </w:p>
                                              <w:p w14:paraId="3CF13CA7" w14:textId="77777777" w:rsidR="00973BF3" w:rsidRPr="00973BF3" w:rsidRDefault="00973BF3" w:rsidP="00973BF3">
                                                <w:pPr>
                                                  <w:spacing w:after="0" w:line="240" w:lineRule="auto"/>
                                                  <w:jc w:val="both"/>
                                                  <w:rPr>
                                                    <w:rFonts w:ascii="Arial" w:eastAsia="Times New Roman" w:hAnsi="Arial" w:cs="Arial"/>
                                                    <w:color w:val="403F42"/>
                                                    <w:sz w:val="21"/>
                                                    <w:szCs w:val="21"/>
                                                  </w:rPr>
                                                </w:pPr>
                                              </w:p>
                                              <w:p w14:paraId="0DB0B68D" w14:textId="77777777" w:rsidR="00973BF3" w:rsidRPr="00973BF3" w:rsidRDefault="00973BF3" w:rsidP="00973BF3">
                                                <w:pPr>
                                                  <w:spacing w:after="0" w:line="240" w:lineRule="auto"/>
                                                  <w:jc w:val="both"/>
                                                  <w:rPr>
                                                    <w:rFonts w:ascii="Arial" w:eastAsia="Times New Roman" w:hAnsi="Arial" w:cs="Arial"/>
                                                    <w:color w:val="403F42"/>
                                                    <w:sz w:val="21"/>
                                                    <w:szCs w:val="21"/>
                                                  </w:rPr>
                                                </w:pPr>
                                                <w:r w:rsidRPr="00973BF3">
                                                  <w:rPr>
                                                    <w:rFonts w:ascii="Arial" w:eastAsia="Times New Roman" w:hAnsi="Arial" w:cs="Arial"/>
                                                    <w:color w:val="403F42"/>
                                                    <w:sz w:val="21"/>
                                                    <w:szCs w:val="21"/>
                                                    <w:u w:val="single"/>
                                                  </w:rPr>
                                                  <w:t>If you have someone in your facility that tests positive (diagnosis should remain private</w:t>
                                                </w:r>
                                                <w:r w:rsidRPr="00973BF3">
                                                  <w:rPr>
                                                    <w:rFonts w:ascii="Arial" w:eastAsia="Times New Roman" w:hAnsi="Arial" w:cs="Arial"/>
                                                    <w:color w:val="403F42"/>
                                                    <w:sz w:val="21"/>
                                                    <w:szCs w:val="21"/>
                                                  </w:rPr>
                                                  <w:t>):</w:t>
                                                </w:r>
                                              </w:p>
                                              <w:p w14:paraId="4F57F791" w14:textId="77777777" w:rsidR="00973BF3" w:rsidRPr="00973BF3" w:rsidRDefault="00973BF3" w:rsidP="00973BF3">
                                                <w:pPr>
                                                  <w:spacing w:after="0" w:line="240" w:lineRule="auto"/>
                                                  <w:jc w:val="both"/>
                                                  <w:rPr>
                                                    <w:rFonts w:ascii="Arial" w:eastAsia="Times New Roman" w:hAnsi="Arial" w:cs="Arial"/>
                                                    <w:color w:val="403F42"/>
                                                    <w:sz w:val="21"/>
                                                    <w:szCs w:val="21"/>
                                                  </w:rPr>
                                                </w:pPr>
                                              </w:p>
                                              <w:p w14:paraId="7CC1664A" w14:textId="77777777" w:rsidR="00973BF3" w:rsidRPr="00973BF3" w:rsidRDefault="00973BF3" w:rsidP="00973BF3">
                                                <w:pPr>
                                                  <w:numPr>
                                                    <w:ilvl w:val="0"/>
                                                    <w:numId w:val="2"/>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Isolate individual immediately.</w:t>
                                                </w:r>
                                              </w:p>
                                              <w:p w14:paraId="227E2550" w14:textId="77777777" w:rsidR="00973BF3" w:rsidRPr="00973BF3" w:rsidRDefault="00973BF3" w:rsidP="00973BF3">
                                                <w:pPr>
                                                  <w:numPr>
                                                    <w:ilvl w:val="0"/>
                                                    <w:numId w:val="2"/>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Work with health officials to identify people who may have been in contact with the individual and determine necessary health screening, containment/quarantine of potentially affected individuals.</w:t>
                                                </w:r>
                                              </w:p>
                                              <w:p w14:paraId="5C6A2E6D" w14:textId="77777777" w:rsidR="00973BF3" w:rsidRPr="00973BF3" w:rsidRDefault="00973BF3" w:rsidP="00973BF3">
                                                <w:pPr>
                                                  <w:numPr>
                                                    <w:ilvl w:val="0"/>
                                                    <w:numId w:val="2"/>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Complete a deep sanitation of affected employee’s work area before any other employees work in the area.</w:t>
                                                </w:r>
                                              </w:p>
                                              <w:p w14:paraId="7083E68F" w14:textId="77777777" w:rsidR="00973BF3" w:rsidRPr="00973BF3" w:rsidRDefault="00973BF3" w:rsidP="00973BF3">
                                                <w:pPr>
                                                  <w:numPr>
                                                    <w:ilvl w:val="0"/>
                                                    <w:numId w:val="2"/>
                                                  </w:numPr>
                                                  <w:spacing w:before="100" w:beforeAutospacing="1" w:after="100" w:afterAutospacing="1" w:line="240" w:lineRule="auto"/>
                                                  <w:ind w:left="945"/>
                                                  <w:jc w:val="both"/>
                                                  <w:rPr>
                                                    <w:rFonts w:ascii="Arial" w:eastAsia="Times New Roman" w:hAnsi="Arial" w:cs="Arial"/>
                                                    <w:color w:val="403F42"/>
                                                    <w:sz w:val="21"/>
                                                    <w:szCs w:val="21"/>
                                                  </w:rPr>
                                                </w:pPr>
                                                <w:r w:rsidRPr="00973BF3">
                                                  <w:rPr>
                                                    <w:rFonts w:ascii="Arial" w:eastAsia="Times New Roman" w:hAnsi="Arial" w:cs="Arial"/>
                                                    <w:color w:val="403F42"/>
                                                    <w:sz w:val="21"/>
                                                    <w:szCs w:val="21"/>
                                                  </w:rPr>
                                                  <w:t>Require a doctor’s note for return to work.</w:t>
                                                </w:r>
                                              </w:p>
                                              <w:p w14:paraId="0F30E96C" w14:textId="77777777" w:rsidR="00973BF3" w:rsidRPr="00973BF3" w:rsidRDefault="00973BF3" w:rsidP="00973BF3">
                                                <w:pPr>
                                                  <w:spacing w:after="0" w:line="240" w:lineRule="auto"/>
                                                  <w:jc w:val="both"/>
                                                  <w:rPr>
                                                    <w:rFonts w:ascii="Arial" w:eastAsia="Times New Roman" w:hAnsi="Arial" w:cs="Arial"/>
                                                    <w:color w:val="403F42"/>
                                                    <w:sz w:val="21"/>
                                                    <w:szCs w:val="21"/>
                                                  </w:rPr>
                                                </w:pPr>
                                              </w:p>
                                              <w:p w14:paraId="6277963F" w14:textId="77777777" w:rsidR="00973BF3" w:rsidRPr="00973BF3" w:rsidRDefault="00973BF3" w:rsidP="00973BF3">
                                                <w:pPr>
                                                  <w:spacing w:after="0" w:line="240" w:lineRule="auto"/>
                                                  <w:jc w:val="both"/>
                                                  <w:rPr>
                                                    <w:rFonts w:ascii="Arial" w:eastAsia="Times New Roman" w:hAnsi="Arial" w:cs="Arial"/>
                                                    <w:color w:val="403F42"/>
                                                    <w:sz w:val="21"/>
                                                    <w:szCs w:val="21"/>
                                                  </w:rPr>
                                                </w:pPr>
                                                <w:r w:rsidRPr="00973BF3">
                                                  <w:rPr>
                                                    <w:rFonts w:ascii="Arial" w:eastAsia="Times New Roman" w:hAnsi="Arial" w:cs="Arial"/>
                                                    <w:color w:val="403F42"/>
                                                    <w:sz w:val="21"/>
                                                    <w:szCs w:val="21"/>
                                                  </w:rPr>
                                                  <w:t>Keeping employees healthy is not only the right thing to do but also makes good business sense. Absenteeism can rise to 15% - 30% due to sickness, quarantines, family care responsibilities or just plain fear. Managing through will require constant communications and discipline towards your policies. We can manage through this together. Please share other best practices that you are implementing. Stay vigilant and stay healthy.</w:t>
                                                </w:r>
                                              </w:p>
                                            </w:tc>
                                          </w:tr>
                                        </w:tbl>
                                        <w:p w14:paraId="4505B790" w14:textId="77777777" w:rsidR="00973BF3" w:rsidRPr="00973BF3" w:rsidRDefault="00973BF3" w:rsidP="00973BF3">
                                          <w:pPr>
                                            <w:spacing w:after="0" w:line="240" w:lineRule="auto"/>
                                            <w:rPr>
                                              <w:rFonts w:ascii="Helvetica" w:eastAsia="Times New Roman" w:hAnsi="Helvetica" w:cs="Helvetica"/>
                                              <w:sz w:val="24"/>
                                              <w:szCs w:val="24"/>
                                            </w:rPr>
                                          </w:pPr>
                                        </w:p>
                                      </w:tc>
                                    </w:tr>
                                  </w:tbl>
                                  <w:p w14:paraId="032789DF" w14:textId="77777777" w:rsidR="00973BF3" w:rsidRPr="00973BF3" w:rsidRDefault="00973BF3" w:rsidP="00973BF3">
                                    <w:pPr>
                                      <w:spacing w:after="0" w:line="240" w:lineRule="auto"/>
                                      <w:jc w:val="center"/>
                                      <w:rPr>
                                        <w:rFonts w:ascii="Helvetica" w:eastAsia="Times New Roman" w:hAnsi="Helvetica" w:cs="Helvetica"/>
                                        <w:sz w:val="24"/>
                                        <w:szCs w:val="24"/>
                                      </w:rPr>
                                    </w:pPr>
                                  </w:p>
                                </w:tc>
                              </w:tr>
                            </w:tbl>
                            <w:p w14:paraId="370AC6FD" w14:textId="77777777" w:rsidR="00973BF3" w:rsidRPr="00973BF3" w:rsidRDefault="00973BF3" w:rsidP="00973BF3">
                              <w:pPr>
                                <w:spacing w:after="0" w:line="240" w:lineRule="auto"/>
                                <w:jc w:val="center"/>
                                <w:rPr>
                                  <w:rFonts w:ascii="Helvetica" w:eastAsia="Times New Roman" w:hAnsi="Helvetica" w:cs="Helvetica"/>
                                  <w:sz w:val="24"/>
                                  <w:szCs w:val="24"/>
                                </w:rPr>
                              </w:pPr>
                            </w:p>
                          </w:tc>
                        </w:tr>
                      </w:tbl>
                      <w:p w14:paraId="67D74AF5" w14:textId="77777777" w:rsidR="00973BF3" w:rsidRPr="00973BF3" w:rsidRDefault="00973BF3" w:rsidP="00973BF3">
                        <w:pPr>
                          <w:spacing w:after="0" w:line="240" w:lineRule="auto"/>
                          <w:jc w:val="center"/>
                          <w:rPr>
                            <w:rFonts w:ascii="Helvetica" w:eastAsia="Times New Roman" w:hAnsi="Helvetica" w:cs="Helvetica"/>
                            <w:sz w:val="24"/>
                            <w:szCs w:val="24"/>
                          </w:rPr>
                        </w:pPr>
                      </w:p>
                    </w:tc>
                  </w:tr>
                </w:tbl>
                <w:p w14:paraId="0CF957EE" w14:textId="77777777" w:rsidR="00973BF3" w:rsidRPr="00973BF3" w:rsidRDefault="00973BF3" w:rsidP="00973BF3">
                  <w:pPr>
                    <w:spacing w:after="0" w:line="240" w:lineRule="auto"/>
                    <w:jc w:val="center"/>
                    <w:rPr>
                      <w:rFonts w:ascii="Helvetica" w:eastAsia="Times New Roman" w:hAnsi="Helvetica" w:cs="Helvetica"/>
                      <w:sz w:val="24"/>
                      <w:szCs w:val="24"/>
                    </w:rPr>
                  </w:pPr>
                </w:p>
              </w:tc>
            </w:tr>
          </w:tbl>
          <w:p w14:paraId="577FA1A2" w14:textId="77777777" w:rsidR="00973BF3" w:rsidRPr="00973BF3" w:rsidRDefault="00973BF3" w:rsidP="00973BF3">
            <w:pPr>
              <w:shd w:val="clear" w:color="auto" w:fill="E6E6E6"/>
              <w:spacing w:after="0" w:line="240" w:lineRule="auto"/>
              <w:jc w:val="center"/>
              <w:rPr>
                <w:rFonts w:ascii="Helvetica" w:eastAsia="Times New Roman" w:hAnsi="Helvetica" w:cs="Helvetica"/>
                <w:sz w:val="24"/>
                <w:szCs w:val="24"/>
              </w:rPr>
            </w:pPr>
          </w:p>
        </w:tc>
      </w:tr>
    </w:tbl>
    <w:p w14:paraId="2A91D012" w14:textId="77777777" w:rsidR="000017E4" w:rsidRDefault="000017E4"/>
    <w:sectPr w:rsidR="00001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C751F"/>
    <w:multiLevelType w:val="multilevel"/>
    <w:tmpl w:val="D9702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AC1EC7"/>
    <w:multiLevelType w:val="multilevel"/>
    <w:tmpl w:val="D5DC0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BF3"/>
    <w:rsid w:val="000017E4"/>
    <w:rsid w:val="00474A96"/>
    <w:rsid w:val="0096125D"/>
    <w:rsid w:val="00973BF3"/>
    <w:rsid w:val="00F0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9132"/>
  <w15:chartTrackingRefBased/>
  <w15:docId w15:val="{AE600DDF-A57E-4CBF-A454-0942C113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848909">
      <w:bodyDiv w:val="1"/>
      <w:marLeft w:val="0"/>
      <w:marRight w:val="0"/>
      <w:marTop w:val="0"/>
      <w:marBottom w:val="0"/>
      <w:divBdr>
        <w:top w:val="none" w:sz="0" w:space="0" w:color="auto"/>
        <w:left w:val="none" w:sz="0" w:space="0" w:color="auto"/>
        <w:bottom w:val="none" w:sz="0" w:space="0" w:color="auto"/>
        <w:right w:val="none" w:sz="0" w:space="0" w:color="auto"/>
      </w:divBdr>
      <w:divsChild>
        <w:div w:id="659962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1205148">
              <w:marLeft w:val="0"/>
              <w:marRight w:val="0"/>
              <w:marTop w:val="0"/>
              <w:marBottom w:val="0"/>
              <w:divBdr>
                <w:top w:val="none" w:sz="0" w:space="0" w:color="auto"/>
                <w:left w:val="none" w:sz="0" w:space="0" w:color="auto"/>
                <w:bottom w:val="none" w:sz="0" w:space="0" w:color="auto"/>
                <w:right w:val="none" w:sz="0" w:space="0" w:color="auto"/>
              </w:divBdr>
              <w:divsChild>
                <w:div w:id="888760458">
                  <w:marLeft w:val="0"/>
                  <w:marRight w:val="0"/>
                  <w:marTop w:val="0"/>
                  <w:marBottom w:val="0"/>
                  <w:divBdr>
                    <w:top w:val="none" w:sz="0" w:space="0" w:color="auto"/>
                    <w:left w:val="none" w:sz="0" w:space="0" w:color="auto"/>
                    <w:bottom w:val="none" w:sz="0" w:space="0" w:color="auto"/>
                    <w:right w:val="none" w:sz="0" w:space="0" w:color="auto"/>
                  </w:divBdr>
                  <w:divsChild>
                    <w:div w:id="1684285488">
                      <w:marLeft w:val="0"/>
                      <w:marRight w:val="0"/>
                      <w:marTop w:val="0"/>
                      <w:marBottom w:val="0"/>
                      <w:divBdr>
                        <w:top w:val="none" w:sz="0" w:space="0" w:color="auto"/>
                        <w:left w:val="none" w:sz="0" w:space="0" w:color="auto"/>
                        <w:bottom w:val="none" w:sz="0" w:space="0" w:color="auto"/>
                        <w:right w:val="none" w:sz="0" w:space="0" w:color="auto"/>
                      </w:divBdr>
                      <w:divsChild>
                        <w:div w:id="557475168">
                          <w:marLeft w:val="0"/>
                          <w:marRight w:val="0"/>
                          <w:marTop w:val="0"/>
                          <w:marBottom w:val="0"/>
                          <w:divBdr>
                            <w:top w:val="none" w:sz="0" w:space="0" w:color="auto"/>
                            <w:left w:val="none" w:sz="0" w:space="0" w:color="auto"/>
                            <w:bottom w:val="none" w:sz="0" w:space="0" w:color="auto"/>
                            <w:right w:val="none" w:sz="0" w:space="0" w:color="auto"/>
                          </w:divBdr>
                          <w:divsChild>
                            <w:div w:id="1668315761">
                              <w:marLeft w:val="0"/>
                              <w:marRight w:val="0"/>
                              <w:marTop w:val="0"/>
                              <w:marBottom w:val="0"/>
                              <w:divBdr>
                                <w:top w:val="none" w:sz="0" w:space="0" w:color="auto"/>
                                <w:left w:val="none" w:sz="0" w:space="0" w:color="auto"/>
                                <w:bottom w:val="none" w:sz="0" w:space="0" w:color="auto"/>
                                <w:right w:val="none" w:sz="0" w:space="0" w:color="auto"/>
                              </w:divBdr>
                              <w:divsChild>
                                <w:div w:id="2030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58450">
                          <w:marLeft w:val="0"/>
                          <w:marRight w:val="0"/>
                          <w:marTop w:val="0"/>
                          <w:marBottom w:val="0"/>
                          <w:divBdr>
                            <w:top w:val="none" w:sz="0" w:space="0" w:color="auto"/>
                            <w:left w:val="none" w:sz="0" w:space="0" w:color="auto"/>
                            <w:bottom w:val="none" w:sz="0" w:space="0" w:color="auto"/>
                            <w:right w:val="none" w:sz="0" w:space="0" w:color="auto"/>
                          </w:divBdr>
                          <w:divsChild>
                            <w:div w:id="6103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Bennett</dc:creator>
  <cp:keywords/>
  <dc:description/>
  <cp:lastModifiedBy>Lauren Bennett</cp:lastModifiedBy>
  <cp:revision>2</cp:revision>
  <dcterms:created xsi:type="dcterms:W3CDTF">2020-03-23T13:11:00Z</dcterms:created>
  <dcterms:modified xsi:type="dcterms:W3CDTF">2020-03-23T13:11:00Z</dcterms:modified>
</cp:coreProperties>
</file>