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547" w:rsidRDefault="00226547" w:rsidP="00226547">
      <w:pPr>
        <w:widowControl w:val="0"/>
        <w:autoSpaceDE w:val="0"/>
        <w:autoSpaceDN w:val="0"/>
        <w:adjustRightInd w:val="0"/>
        <w:rPr>
          <w:rFonts w:ascii="Helvetica" w:eastAsiaTheme="minorEastAsia" w:hAnsi="Helvetica" w:cs="Helvetica"/>
          <w:color w:val="6D6D6D"/>
          <w:kern w:val="0"/>
        </w:rPr>
      </w:pPr>
    </w:p>
    <w:p w:rsidR="00226547" w:rsidRDefault="00226547" w:rsidP="00226547">
      <w:pPr>
        <w:widowControl w:val="0"/>
        <w:autoSpaceDE w:val="0"/>
        <w:autoSpaceDN w:val="0"/>
        <w:adjustRightInd w:val="0"/>
        <w:rPr>
          <w:rFonts w:ascii="Helvetica" w:eastAsiaTheme="minorEastAsia" w:hAnsi="Helvetica" w:cs="Helvetica"/>
          <w:b/>
          <w:bCs/>
          <w:kern w:val="0"/>
          <w:sz w:val="32"/>
          <w:szCs w:val="32"/>
        </w:rPr>
      </w:pPr>
      <w:r>
        <w:rPr>
          <w:rFonts w:ascii="Helvetica" w:eastAsiaTheme="minorEastAsia" w:hAnsi="Helvetica" w:cs="Helvetica"/>
          <w:b/>
          <w:bCs/>
          <w:kern w:val="0"/>
          <w:sz w:val="32"/>
          <w:szCs w:val="32"/>
        </w:rPr>
        <w:t>OUR WORK</w:t>
      </w:r>
    </w:p>
    <w:p w:rsidR="00226547" w:rsidRDefault="00226547" w:rsidP="00226547">
      <w:pPr>
        <w:widowControl w:val="0"/>
        <w:numPr>
          <w:ilvl w:val="0"/>
          <w:numId w:val="1"/>
        </w:numPr>
        <w:tabs>
          <w:tab w:val="left" w:pos="220"/>
          <w:tab w:val="left" w:pos="720"/>
        </w:tabs>
        <w:autoSpaceDE w:val="0"/>
        <w:autoSpaceDN w:val="0"/>
        <w:adjustRightInd w:val="0"/>
        <w:ind w:hanging="720"/>
        <w:rPr>
          <w:rFonts w:ascii="Helvetica" w:eastAsiaTheme="minorEastAsia" w:hAnsi="Helvetica" w:cs="Helvetica"/>
          <w:kern w:val="0"/>
          <w:sz w:val="32"/>
          <w:szCs w:val="32"/>
        </w:rPr>
      </w:pPr>
      <w:r>
        <w:rPr>
          <w:rFonts w:ascii="Helvetica" w:eastAsiaTheme="minorEastAsia" w:hAnsi="Helvetica" w:cs="Helvetica"/>
          <w:b/>
          <w:bCs/>
          <w:color w:val="107FAA"/>
          <w:kern w:val="1"/>
          <w:sz w:val="28"/>
          <w:szCs w:val="28"/>
        </w:rPr>
        <w:tab/>
      </w:r>
      <w:r>
        <w:rPr>
          <w:rFonts w:ascii="Helvetica" w:eastAsiaTheme="minorEastAsia" w:hAnsi="Helvetica" w:cs="Helvetica"/>
          <w:b/>
          <w:bCs/>
          <w:color w:val="107FAA"/>
          <w:kern w:val="1"/>
          <w:sz w:val="28"/>
          <w:szCs w:val="28"/>
        </w:rPr>
        <w:tab/>
      </w:r>
      <w:hyperlink r:id="rId6" w:history="1">
        <w:r>
          <w:rPr>
            <w:rFonts w:ascii="Helvetica" w:eastAsiaTheme="minorEastAsia" w:hAnsi="Helvetica" w:cs="Helvetica"/>
            <w:b/>
            <w:bCs/>
            <w:color w:val="107FAA"/>
            <w:kern w:val="0"/>
            <w:sz w:val="28"/>
            <w:szCs w:val="28"/>
          </w:rPr>
          <w:t>Asylum &amp; Immigration</w:t>
        </w:r>
      </w:hyperlink>
    </w:p>
    <w:p w:rsidR="00226547" w:rsidRDefault="00226547" w:rsidP="00226547">
      <w:pPr>
        <w:widowControl w:val="0"/>
        <w:numPr>
          <w:ilvl w:val="0"/>
          <w:numId w:val="1"/>
        </w:numPr>
        <w:tabs>
          <w:tab w:val="left" w:pos="220"/>
          <w:tab w:val="left" w:pos="720"/>
        </w:tabs>
        <w:autoSpaceDE w:val="0"/>
        <w:autoSpaceDN w:val="0"/>
        <w:adjustRightInd w:val="0"/>
        <w:ind w:hanging="720"/>
        <w:rPr>
          <w:rFonts w:ascii="Helvetica" w:eastAsiaTheme="minorEastAsia" w:hAnsi="Helvetica" w:cs="Helvetica"/>
          <w:kern w:val="0"/>
          <w:sz w:val="32"/>
          <w:szCs w:val="32"/>
        </w:rPr>
      </w:pPr>
      <w:r>
        <w:rPr>
          <w:rFonts w:ascii="Helvetica" w:eastAsiaTheme="minorEastAsia" w:hAnsi="Helvetica" w:cs="Helvetica"/>
          <w:b/>
          <w:bCs/>
          <w:color w:val="9D1323"/>
          <w:kern w:val="1"/>
          <w:sz w:val="28"/>
          <w:szCs w:val="28"/>
        </w:rPr>
        <w:tab/>
      </w:r>
      <w:r>
        <w:rPr>
          <w:rFonts w:ascii="Helvetica" w:eastAsiaTheme="minorEastAsia" w:hAnsi="Helvetica" w:cs="Helvetica"/>
          <w:b/>
          <w:bCs/>
          <w:color w:val="9D1323"/>
          <w:kern w:val="1"/>
          <w:sz w:val="28"/>
          <w:szCs w:val="28"/>
        </w:rPr>
        <w:tab/>
      </w:r>
      <w:hyperlink r:id="rId7" w:history="1">
        <w:r>
          <w:rPr>
            <w:rFonts w:ascii="Helvetica" w:eastAsiaTheme="minorEastAsia" w:hAnsi="Helvetica" w:cs="Helvetica"/>
            <w:b/>
            <w:bCs/>
            <w:color w:val="9D1323"/>
            <w:kern w:val="0"/>
            <w:sz w:val="28"/>
            <w:szCs w:val="28"/>
            <w:u w:val="single"/>
          </w:rPr>
          <w:t>#</w:t>
        </w:r>
        <w:proofErr w:type="spellStart"/>
        <w:r>
          <w:rPr>
            <w:rFonts w:ascii="Helvetica" w:eastAsiaTheme="minorEastAsia" w:hAnsi="Helvetica" w:cs="Helvetica"/>
            <w:b/>
            <w:bCs/>
            <w:color w:val="9D1323"/>
            <w:kern w:val="0"/>
            <w:sz w:val="28"/>
            <w:szCs w:val="28"/>
            <w:u w:val="single"/>
          </w:rPr>
          <w:t>BornPerfect</w:t>
        </w:r>
        <w:proofErr w:type="spellEnd"/>
        <w:r>
          <w:rPr>
            <w:rFonts w:ascii="Helvetica" w:eastAsiaTheme="minorEastAsia" w:hAnsi="Helvetica" w:cs="Helvetica"/>
            <w:b/>
            <w:bCs/>
            <w:color w:val="9D1323"/>
            <w:kern w:val="0"/>
            <w:sz w:val="28"/>
            <w:szCs w:val="28"/>
            <w:u w:val="single"/>
          </w:rPr>
          <w:t>: The Campaign to End Conversion Therapy</w:t>
        </w:r>
      </w:hyperlink>
    </w:p>
    <w:p w:rsidR="00226547" w:rsidRDefault="00226547" w:rsidP="00226547">
      <w:pPr>
        <w:widowControl w:val="0"/>
        <w:numPr>
          <w:ilvl w:val="0"/>
          <w:numId w:val="1"/>
        </w:numPr>
        <w:tabs>
          <w:tab w:val="left" w:pos="220"/>
          <w:tab w:val="left" w:pos="720"/>
        </w:tabs>
        <w:autoSpaceDE w:val="0"/>
        <w:autoSpaceDN w:val="0"/>
        <w:adjustRightInd w:val="0"/>
        <w:ind w:hanging="720"/>
        <w:rPr>
          <w:rFonts w:ascii="Helvetica" w:eastAsiaTheme="minorEastAsia" w:hAnsi="Helvetica" w:cs="Helvetica"/>
          <w:kern w:val="0"/>
          <w:sz w:val="32"/>
          <w:szCs w:val="32"/>
        </w:rPr>
      </w:pPr>
      <w:r>
        <w:rPr>
          <w:rFonts w:ascii="Helvetica" w:eastAsiaTheme="minorEastAsia" w:hAnsi="Helvetica" w:cs="Helvetica"/>
          <w:b/>
          <w:bCs/>
          <w:color w:val="107FAA"/>
          <w:kern w:val="1"/>
          <w:sz w:val="28"/>
          <w:szCs w:val="28"/>
        </w:rPr>
        <w:tab/>
      </w:r>
      <w:r>
        <w:rPr>
          <w:rFonts w:ascii="Helvetica" w:eastAsiaTheme="minorEastAsia" w:hAnsi="Helvetica" w:cs="Helvetica"/>
          <w:b/>
          <w:bCs/>
          <w:color w:val="107FAA"/>
          <w:kern w:val="1"/>
          <w:sz w:val="28"/>
          <w:szCs w:val="28"/>
        </w:rPr>
        <w:tab/>
      </w:r>
      <w:hyperlink r:id="rId8" w:history="1">
        <w:r>
          <w:rPr>
            <w:rFonts w:ascii="Helvetica" w:eastAsiaTheme="minorEastAsia" w:hAnsi="Helvetica" w:cs="Helvetica"/>
            <w:b/>
            <w:bCs/>
            <w:color w:val="107FAA"/>
            <w:kern w:val="0"/>
            <w:sz w:val="28"/>
            <w:szCs w:val="28"/>
          </w:rPr>
          <w:t>Elders</w:t>
        </w:r>
      </w:hyperlink>
    </w:p>
    <w:p w:rsidR="00226547" w:rsidRDefault="00226547" w:rsidP="00226547">
      <w:pPr>
        <w:widowControl w:val="0"/>
        <w:numPr>
          <w:ilvl w:val="0"/>
          <w:numId w:val="1"/>
        </w:numPr>
        <w:tabs>
          <w:tab w:val="left" w:pos="220"/>
          <w:tab w:val="left" w:pos="720"/>
        </w:tabs>
        <w:autoSpaceDE w:val="0"/>
        <w:autoSpaceDN w:val="0"/>
        <w:adjustRightInd w:val="0"/>
        <w:ind w:hanging="720"/>
        <w:rPr>
          <w:rFonts w:ascii="Helvetica" w:eastAsiaTheme="minorEastAsia" w:hAnsi="Helvetica" w:cs="Helvetica"/>
          <w:kern w:val="0"/>
          <w:sz w:val="32"/>
          <w:szCs w:val="32"/>
        </w:rPr>
      </w:pPr>
      <w:r>
        <w:rPr>
          <w:rFonts w:ascii="Helvetica" w:eastAsiaTheme="minorEastAsia" w:hAnsi="Helvetica" w:cs="Helvetica"/>
          <w:b/>
          <w:bCs/>
          <w:color w:val="107FAA"/>
          <w:kern w:val="1"/>
          <w:sz w:val="28"/>
          <w:szCs w:val="28"/>
        </w:rPr>
        <w:tab/>
      </w:r>
      <w:r>
        <w:rPr>
          <w:rFonts w:ascii="Helvetica" w:eastAsiaTheme="minorEastAsia" w:hAnsi="Helvetica" w:cs="Helvetica"/>
          <w:b/>
          <w:bCs/>
          <w:color w:val="107FAA"/>
          <w:kern w:val="1"/>
          <w:sz w:val="28"/>
          <w:szCs w:val="28"/>
        </w:rPr>
        <w:tab/>
      </w:r>
      <w:r>
        <w:rPr>
          <w:rFonts w:ascii="Helvetica" w:eastAsiaTheme="minorEastAsia" w:hAnsi="Helvetica" w:cs="Helvetica"/>
          <w:b/>
          <w:bCs/>
          <w:color w:val="107FAA"/>
          <w:kern w:val="1"/>
          <w:sz w:val="28"/>
          <w:szCs w:val="28"/>
        </w:rPr>
        <w:fldChar w:fldCharType="begin"/>
      </w:r>
      <w:r>
        <w:rPr>
          <w:rFonts w:ascii="Helvetica" w:eastAsiaTheme="minorEastAsia" w:hAnsi="Helvetica" w:cs="Helvetica"/>
          <w:b/>
          <w:bCs/>
          <w:color w:val="107FAA"/>
          <w:kern w:val="1"/>
          <w:sz w:val="28"/>
          <w:szCs w:val="28"/>
        </w:rPr>
        <w:instrText>HYPERLINK "http://www.nclrights.org/our-work/employment/"</w:instrText>
      </w:r>
      <w:r>
        <w:rPr>
          <w:rFonts w:ascii="Helvetica" w:eastAsiaTheme="minorEastAsia" w:hAnsi="Helvetica" w:cs="Helvetica"/>
          <w:b/>
          <w:bCs/>
          <w:color w:val="107FAA"/>
          <w:kern w:val="1"/>
          <w:sz w:val="28"/>
          <w:szCs w:val="28"/>
        </w:rPr>
      </w:r>
      <w:r>
        <w:rPr>
          <w:rFonts w:ascii="Helvetica" w:eastAsiaTheme="minorEastAsia" w:hAnsi="Helvetica" w:cs="Helvetica"/>
          <w:b/>
          <w:bCs/>
          <w:color w:val="107FAA"/>
          <w:kern w:val="1"/>
          <w:sz w:val="28"/>
          <w:szCs w:val="28"/>
        </w:rPr>
        <w:fldChar w:fldCharType="separate"/>
      </w:r>
      <w:r>
        <w:rPr>
          <w:rFonts w:ascii="Helvetica" w:eastAsiaTheme="minorEastAsia" w:hAnsi="Helvetica" w:cs="Helvetica"/>
          <w:b/>
          <w:bCs/>
          <w:color w:val="107FAA"/>
          <w:kern w:val="0"/>
          <w:sz w:val="28"/>
          <w:szCs w:val="28"/>
        </w:rPr>
        <w:t>Employment</w:t>
      </w:r>
      <w:r>
        <w:rPr>
          <w:rFonts w:ascii="Helvetica" w:eastAsiaTheme="minorEastAsia" w:hAnsi="Helvetica" w:cs="Helvetica"/>
          <w:b/>
          <w:bCs/>
          <w:color w:val="107FAA"/>
          <w:kern w:val="1"/>
          <w:sz w:val="28"/>
          <w:szCs w:val="28"/>
        </w:rPr>
        <w:fldChar w:fldCharType="end"/>
      </w:r>
    </w:p>
    <w:p w:rsidR="00226547" w:rsidRDefault="00226547" w:rsidP="00226547">
      <w:pPr>
        <w:widowControl w:val="0"/>
        <w:numPr>
          <w:ilvl w:val="0"/>
          <w:numId w:val="1"/>
        </w:numPr>
        <w:tabs>
          <w:tab w:val="left" w:pos="220"/>
          <w:tab w:val="left" w:pos="720"/>
        </w:tabs>
        <w:autoSpaceDE w:val="0"/>
        <w:autoSpaceDN w:val="0"/>
        <w:adjustRightInd w:val="0"/>
        <w:ind w:hanging="720"/>
        <w:rPr>
          <w:rFonts w:ascii="Helvetica" w:eastAsiaTheme="minorEastAsia" w:hAnsi="Helvetica" w:cs="Helvetica"/>
          <w:kern w:val="0"/>
          <w:sz w:val="32"/>
          <w:szCs w:val="32"/>
        </w:rPr>
      </w:pPr>
      <w:r>
        <w:rPr>
          <w:rFonts w:ascii="Helvetica" w:eastAsiaTheme="minorEastAsia" w:hAnsi="Helvetica" w:cs="Helvetica"/>
          <w:b/>
          <w:bCs/>
          <w:color w:val="107FAA"/>
          <w:kern w:val="1"/>
          <w:sz w:val="28"/>
          <w:szCs w:val="28"/>
        </w:rPr>
        <w:tab/>
      </w:r>
      <w:r>
        <w:rPr>
          <w:rFonts w:ascii="Helvetica" w:eastAsiaTheme="minorEastAsia" w:hAnsi="Helvetica" w:cs="Helvetica"/>
          <w:b/>
          <w:bCs/>
          <w:color w:val="107FAA"/>
          <w:kern w:val="1"/>
          <w:sz w:val="28"/>
          <w:szCs w:val="28"/>
        </w:rPr>
        <w:tab/>
      </w:r>
      <w:r>
        <w:rPr>
          <w:rFonts w:ascii="Helvetica" w:eastAsiaTheme="minorEastAsia" w:hAnsi="Helvetica" w:cs="Helvetica"/>
          <w:b/>
          <w:bCs/>
          <w:color w:val="107FAA"/>
          <w:kern w:val="1"/>
          <w:sz w:val="28"/>
          <w:szCs w:val="28"/>
        </w:rPr>
        <w:fldChar w:fldCharType="begin"/>
      </w:r>
      <w:r>
        <w:rPr>
          <w:rFonts w:ascii="Helvetica" w:eastAsiaTheme="minorEastAsia" w:hAnsi="Helvetica" w:cs="Helvetica"/>
          <w:b/>
          <w:bCs/>
          <w:color w:val="107FAA"/>
          <w:kern w:val="1"/>
          <w:sz w:val="28"/>
          <w:szCs w:val="28"/>
        </w:rPr>
        <w:instrText>HYPERLINK "http://www.nclrights.org/our-work/family-relationships/"</w:instrText>
      </w:r>
      <w:r>
        <w:rPr>
          <w:rFonts w:ascii="Helvetica" w:eastAsiaTheme="minorEastAsia" w:hAnsi="Helvetica" w:cs="Helvetica"/>
          <w:b/>
          <w:bCs/>
          <w:color w:val="107FAA"/>
          <w:kern w:val="1"/>
          <w:sz w:val="28"/>
          <w:szCs w:val="28"/>
        </w:rPr>
      </w:r>
      <w:r>
        <w:rPr>
          <w:rFonts w:ascii="Helvetica" w:eastAsiaTheme="minorEastAsia" w:hAnsi="Helvetica" w:cs="Helvetica"/>
          <w:b/>
          <w:bCs/>
          <w:color w:val="107FAA"/>
          <w:kern w:val="1"/>
          <w:sz w:val="28"/>
          <w:szCs w:val="28"/>
        </w:rPr>
        <w:fldChar w:fldCharType="separate"/>
      </w:r>
      <w:r>
        <w:rPr>
          <w:rFonts w:ascii="Helvetica" w:eastAsiaTheme="minorEastAsia" w:hAnsi="Helvetica" w:cs="Helvetica"/>
          <w:b/>
          <w:bCs/>
          <w:color w:val="107FAA"/>
          <w:kern w:val="0"/>
          <w:sz w:val="28"/>
          <w:szCs w:val="28"/>
        </w:rPr>
        <w:t>Family &amp; Relationships</w:t>
      </w:r>
      <w:r>
        <w:rPr>
          <w:rFonts w:ascii="Helvetica" w:eastAsiaTheme="minorEastAsia" w:hAnsi="Helvetica" w:cs="Helvetica"/>
          <w:b/>
          <w:bCs/>
          <w:color w:val="107FAA"/>
          <w:kern w:val="1"/>
          <w:sz w:val="28"/>
          <w:szCs w:val="28"/>
        </w:rPr>
        <w:fldChar w:fldCharType="end"/>
      </w:r>
    </w:p>
    <w:p w:rsidR="00226547" w:rsidRDefault="00226547" w:rsidP="00226547">
      <w:pPr>
        <w:widowControl w:val="0"/>
        <w:numPr>
          <w:ilvl w:val="0"/>
          <w:numId w:val="1"/>
        </w:numPr>
        <w:tabs>
          <w:tab w:val="left" w:pos="220"/>
          <w:tab w:val="left" w:pos="720"/>
        </w:tabs>
        <w:autoSpaceDE w:val="0"/>
        <w:autoSpaceDN w:val="0"/>
        <w:adjustRightInd w:val="0"/>
        <w:ind w:hanging="720"/>
        <w:rPr>
          <w:rFonts w:ascii="Helvetica" w:eastAsiaTheme="minorEastAsia" w:hAnsi="Helvetica" w:cs="Helvetica"/>
          <w:kern w:val="0"/>
          <w:sz w:val="32"/>
          <w:szCs w:val="32"/>
        </w:rPr>
      </w:pPr>
      <w:r>
        <w:rPr>
          <w:rFonts w:ascii="Helvetica" w:eastAsiaTheme="minorEastAsia" w:hAnsi="Helvetica" w:cs="Helvetica"/>
          <w:b/>
          <w:bCs/>
          <w:color w:val="107FAA"/>
          <w:kern w:val="1"/>
          <w:sz w:val="28"/>
          <w:szCs w:val="28"/>
        </w:rPr>
        <w:tab/>
      </w:r>
      <w:r>
        <w:rPr>
          <w:rFonts w:ascii="Helvetica" w:eastAsiaTheme="minorEastAsia" w:hAnsi="Helvetica" w:cs="Helvetica"/>
          <w:b/>
          <w:bCs/>
          <w:color w:val="107FAA"/>
          <w:kern w:val="1"/>
          <w:sz w:val="28"/>
          <w:szCs w:val="28"/>
        </w:rPr>
        <w:tab/>
      </w:r>
      <w:r>
        <w:rPr>
          <w:rFonts w:ascii="Helvetica" w:eastAsiaTheme="minorEastAsia" w:hAnsi="Helvetica" w:cs="Helvetica"/>
          <w:b/>
          <w:bCs/>
          <w:color w:val="107FAA"/>
          <w:kern w:val="1"/>
          <w:sz w:val="28"/>
          <w:szCs w:val="28"/>
        </w:rPr>
        <w:fldChar w:fldCharType="begin"/>
      </w:r>
      <w:r>
        <w:rPr>
          <w:rFonts w:ascii="Helvetica" w:eastAsiaTheme="minorEastAsia" w:hAnsi="Helvetica" w:cs="Helvetica"/>
          <w:b/>
          <w:bCs/>
          <w:color w:val="107FAA"/>
          <w:kern w:val="1"/>
          <w:sz w:val="28"/>
          <w:szCs w:val="28"/>
        </w:rPr>
        <w:instrText>HYPERLINK "http://www.nclrights.org/our-work/federal-legislation-policy/"</w:instrText>
      </w:r>
      <w:r>
        <w:rPr>
          <w:rFonts w:ascii="Helvetica" w:eastAsiaTheme="minorEastAsia" w:hAnsi="Helvetica" w:cs="Helvetica"/>
          <w:b/>
          <w:bCs/>
          <w:color w:val="107FAA"/>
          <w:kern w:val="1"/>
          <w:sz w:val="28"/>
          <w:szCs w:val="28"/>
        </w:rPr>
      </w:r>
      <w:r>
        <w:rPr>
          <w:rFonts w:ascii="Helvetica" w:eastAsiaTheme="minorEastAsia" w:hAnsi="Helvetica" w:cs="Helvetica"/>
          <w:b/>
          <w:bCs/>
          <w:color w:val="107FAA"/>
          <w:kern w:val="1"/>
          <w:sz w:val="28"/>
          <w:szCs w:val="28"/>
        </w:rPr>
        <w:fldChar w:fldCharType="separate"/>
      </w:r>
      <w:r>
        <w:rPr>
          <w:rFonts w:ascii="Helvetica" w:eastAsiaTheme="minorEastAsia" w:hAnsi="Helvetica" w:cs="Helvetica"/>
          <w:b/>
          <w:bCs/>
          <w:color w:val="107FAA"/>
          <w:kern w:val="0"/>
          <w:sz w:val="28"/>
          <w:szCs w:val="28"/>
        </w:rPr>
        <w:t>Federal Legislation &amp; Policy</w:t>
      </w:r>
      <w:r>
        <w:rPr>
          <w:rFonts w:ascii="Helvetica" w:eastAsiaTheme="minorEastAsia" w:hAnsi="Helvetica" w:cs="Helvetica"/>
          <w:b/>
          <w:bCs/>
          <w:color w:val="107FAA"/>
          <w:kern w:val="1"/>
          <w:sz w:val="28"/>
          <w:szCs w:val="28"/>
        </w:rPr>
        <w:fldChar w:fldCharType="end"/>
      </w:r>
    </w:p>
    <w:p w:rsidR="00226547" w:rsidRDefault="00226547" w:rsidP="00226547">
      <w:pPr>
        <w:widowControl w:val="0"/>
        <w:numPr>
          <w:ilvl w:val="0"/>
          <w:numId w:val="1"/>
        </w:numPr>
        <w:tabs>
          <w:tab w:val="left" w:pos="220"/>
          <w:tab w:val="left" w:pos="720"/>
        </w:tabs>
        <w:autoSpaceDE w:val="0"/>
        <w:autoSpaceDN w:val="0"/>
        <w:adjustRightInd w:val="0"/>
        <w:ind w:hanging="720"/>
        <w:rPr>
          <w:rFonts w:ascii="Helvetica" w:eastAsiaTheme="minorEastAsia" w:hAnsi="Helvetica" w:cs="Helvetica"/>
          <w:kern w:val="0"/>
          <w:sz w:val="32"/>
          <w:szCs w:val="32"/>
        </w:rPr>
      </w:pPr>
      <w:r>
        <w:rPr>
          <w:rFonts w:ascii="Helvetica" w:eastAsiaTheme="minorEastAsia" w:hAnsi="Helvetica" w:cs="Helvetica"/>
          <w:b/>
          <w:bCs/>
          <w:color w:val="107FAA"/>
          <w:kern w:val="1"/>
          <w:sz w:val="28"/>
          <w:szCs w:val="28"/>
        </w:rPr>
        <w:tab/>
      </w:r>
      <w:r>
        <w:rPr>
          <w:rFonts w:ascii="Helvetica" w:eastAsiaTheme="minorEastAsia" w:hAnsi="Helvetica" w:cs="Helvetica"/>
          <w:b/>
          <w:bCs/>
          <w:color w:val="107FAA"/>
          <w:kern w:val="1"/>
          <w:sz w:val="28"/>
          <w:szCs w:val="28"/>
        </w:rPr>
        <w:tab/>
      </w:r>
      <w:r>
        <w:rPr>
          <w:rFonts w:ascii="Helvetica" w:eastAsiaTheme="minorEastAsia" w:hAnsi="Helvetica" w:cs="Helvetica"/>
          <w:b/>
          <w:bCs/>
          <w:color w:val="107FAA"/>
          <w:kern w:val="1"/>
          <w:sz w:val="28"/>
          <w:szCs w:val="28"/>
        </w:rPr>
        <w:fldChar w:fldCharType="begin"/>
      </w:r>
      <w:r>
        <w:rPr>
          <w:rFonts w:ascii="Helvetica" w:eastAsiaTheme="minorEastAsia" w:hAnsi="Helvetica" w:cs="Helvetica"/>
          <w:b/>
          <w:bCs/>
          <w:color w:val="107FAA"/>
          <w:kern w:val="1"/>
          <w:sz w:val="28"/>
          <w:szCs w:val="28"/>
        </w:rPr>
        <w:instrText>HYPERLINK "http://www.nclrights.org/our-work/state-legislation-policy/"</w:instrText>
      </w:r>
      <w:r>
        <w:rPr>
          <w:rFonts w:ascii="Helvetica" w:eastAsiaTheme="minorEastAsia" w:hAnsi="Helvetica" w:cs="Helvetica"/>
          <w:b/>
          <w:bCs/>
          <w:color w:val="107FAA"/>
          <w:kern w:val="1"/>
          <w:sz w:val="28"/>
          <w:szCs w:val="28"/>
        </w:rPr>
      </w:r>
      <w:r>
        <w:rPr>
          <w:rFonts w:ascii="Helvetica" w:eastAsiaTheme="minorEastAsia" w:hAnsi="Helvetica" w:cs="Helvetica"/>
          <w:b/>
          <w:bCs/>
          <w:color w:val="107FAA"/>
          <w:kern w:val="1"/>
          <w:sz w:val="28"/>
          <w:szCs w:val="28"/>
        </w:rPr>
        <w:fldChar w:fldCharType="separate"/>
      </w:r>
      <w:r>
        <w:rPr>
          <w:rFonts w:ascii="Helvetica" w:eastAsiaTheme="minorEastAsia" w:hAnsi="Helvetica" w:cs="Helvetica"/>
          <w:b/>
          <w:bCs/>
          <w:color w:val="107FAA"/>
          <w:kern w:val="0"/>
          <w:sz w:val="28"/>
          <w:szCs w:val="28"/>
        </w:rPr>
        <w:t>State Legislation &amp; Policy</w:t>
      </w:r>
      <w:r>
        <w:rPr>
          <w:rFonts w:ascii="Helvetica" w:eastAsiaTheme="minorEastAsia" w:hAnsi="Helvetica" w:cs="Helvetica"/>
          <w:b/>
          <w:bCs/>
          <w:color w:val="107FAA"/>
          <w:kern w:val="1"/>
          <w:sz w:val="28"/>
          <w:szCs w:val="28"/>
        </w:rPr>
        <w:fldChar w:fldCharType="end"/>
      </w:r>
    </w:p>
    <w:p w:rsidR="00226547" w:rsidRDefault="00226547" w:rsidP="00226547">
      <w:pPr>
        <w:widowControl w:val="0"/>
        <w:numPr>
          <w:ilvl w:val="0"/>
          <w:numId w:val="1"/>
        </w:numPr>
        <w:tabs>
          <w:tab w:val="left" w:pos="220"/>
          <w:tab w:val="left" w:pos="720"/>
        </w:tabs>
        <w:autoSpaceDE w:val="0"/>
        <w:autoSpaceDN w:val="0"/>
        <w:adjustRightInd w:val="0"/>
        <w:ind w:hanging="720"/>
        <w:rPr>
          <w:rFonts w:ascii="Helvetica" w:eastAsiaTheme="minorEastAsia" w:hAnsi="Helvetica" w:cs="Helvetica"/>
          <w:kern w:val="0"/>
          <w:sz w:val="32"/>
          <w:szCs w:val="32"/>
        </w:rPr>
      </w:pPr>
      <w:r>
        <w:rPr>
          <w:rFonts w:ascii="Helvetica" w:eastAsiaTheme="minorEastAsia" w:hAnsi="Helvetica" w:cs="Helvetica"/>
          <w:b/>
          <w:bCs/>
          <w:color w:val="107FAA"/>
          <w:kern w:val="1"/>
          <w:sz w:val="28"/>
          <w:szCs w:val="28"/>
        </w:rPr>
        <w:tab/>
      </w:r>
      <w:r>
        <w:rPr>
          <w:rFonts w:ascii="Helvetica" w:eastAsiaTheme="minorEastAsia" w:hAnsi="Helvetica" w:cs="Helvetica"/>
          <w:b/>
          <w:bCs/>
          <w:color w:val="107FAA"/>
          <w:kern w:val="1"/>
          <w:sz w:val="28"/>
          <w:szCs w:val="28"/>
        </w:rPr>
        <w:tab/>
      </w:r>
      <w:r>
        <w:rPr>
          <w:rFonts w:ascii="Helvetica" w:eastAsiaTheme="minorEastAsia" w:hAnsi="Helvetica" w:cs="Helvetica"/>
          <w:b/>
          <w:bCs/>
          <w:color w:val="107FAA"/>
          <w:kern w:val="1"/>
          <w:sz w:val="28"/>
          <w:szCs w:val="28"/>
        </w:rPr>
        <w:fldChar w:fldCharType="begin"/>
      </w:r>
      <w:r>
        <w:rPr>
          <w:rFonts w:ascii="Helvetica" w:eastAsiaTheme="minorEastAsia" w:hAnsi="Helvetica" w:cs="Helvetica"/>
          <w:b/>
          <w:bCs/>
          <w:color w:val="107FAA"/>
          <w:kern w:val="1"/>
          <w:sz w:val="28"/>
          <w:szCs w:val="28"/>
        </w:rPr>
        <w:instrText>HYPERLINK "http://www.nclrights.org/our-work/healthcare/"</w:instrText>
      </w:r>
      <w:r>
        <w:rPr>
          <w:rFonts w:ascii="Helvetica" w:eastAsiaTheme="minorEastAsia" w:hAnsi="Helvetica" w:cs="Helvetica"/>
          <w:b/>
          <w:bCs/>
          <w:color w:val="107FAA"/>
          <w:kern w:val="1"/>
          <w:sz w:val="28"/>
          <w:szCs w:val="28"/>
        </w:rPr>
      </w:r>
      <w:r>
        <w:rPr>
          <w:rFonts w:ascii="Helvetica" w:eastAsiaTheme="minorEastAsia" w:hAnsi="Helvetica" w:cs="Helvetica"/>
          <w:b/>
          <w:bCs/>
          <w:color w:val="107FAA"/>
          <w:kern w:val="1"/>
          <w:sz w:val="28"/>
          <w:szCs w:val="28"/>
        </w:rPr>
        <w:fldChar w:fldCharType="separate"/>
      </w:r>
      <w:r>
        <w:rPr>
          <w:rFonts w:ascii="Helvetica" w:eastAsiaTheme="minorEastAsia" w:hAnsi="Helvetica" w:cs="Helvetica"/>
          <w:b/>
          <w:bCs/>
          <w:color w:val="107FAA"/>
          <w:kern w:val="0"/>
          <w:sz w:val="28"/>
          <w:szCs w:val="28"/>
        </w:rPr>
        <w:t>Healthcare</w:t>
      </w:r>
      <w:r>
        <w:rPr>
          <w:rFonts w:ascii="Helvetica" w:eastAsiaTheme="minorEastAsia" w:hAnsi="Helvetica" w:cs="Helvetica"/>
          <w:b/>
          <w:bCs/>
          <w:color w:val="107FAA"/>
          <w:kern w:val="1"/>
          <w:sz w:val="28"/>
          <w:szCs w:val="28"/>
        </w:rPr>
        <w:fldChar w:fldCharType="end"/>
      </w:r>
    </w:p>
    <w:p w:rsidR="00226547" w:rsidRDefault="00226547" w:rsidP="00226547">
      <w:pPr>
        <w:widowControl w:val="0"/>
        <w:numPr>
          <w:ilvl w:val="0"/>
          <w:numId w:val="1"/>
        </w:numPr>
        <w:tabs>
          <w:tab w:val="left" w:pos="220"/>
          <w:tab w:val="left" w:pos="720"/>
        </w:tabs>
        <w:autoSpaceDE w:val="0"/>
        <w:autoSpaceDN w:val="0"/>
        <w:adjustRightInd w:val="0"/>
        <w:ind w:hanging="720"/>
        <w:rPr>
          <w:rFonts w:ascii="Helvetica" w:eastAsiaTheme="minorEastAsia" w:hAnsi="Helvetica" w:cs="Helvetica"/>
          <w:kern w:val="0"/>
          <w:sz w:val="32"/>
          <w:szCs w:val="32"/>
        </w:rPr>
      </w:pPr>
      <w:r>
        <w:rPr>
          <w:rFonts w:ascii="Helvetica" w:eastAsiaTheme="minorEastAsia" w:hAnsi="Helvetica" w:cs="Helvetica"/>
          <w:b/>
          <w:bCs/>
          <w:color w:val="107FAA"/>
          <w:kern w:val="1"/>
          <w:sz w:val="28"/>
          <w:szCs w:val="28"/>
        </w:rPr>
        <w:tab/>
      </w:r>
      <w:r>
        <w:rPr>
          <w:rFonts w:ascii="Helvetica" w:eastAsiaTheme="minorEastAsia" w:hAnsi="Helvetica" w:cs="Helvetica"/>
          <w:b/>
          <w:bCs/>
          <w:color w:val="107FAA"/>
          <w:kern w:val="1"/>
          <w:sz w:val="28"/>
          <w:szCs w:val="28"/>
        </w:rPr>
        <w:tab/>
      </w:r>
      <w:r>
        <w:rPr>
          <w:rFonts w:ascii="Helvetica" w:eastAsiaTheme="minorEastAsia" w:hAnsi="Helvetica" w:cs="Helvetica"/>
          <w:b/>
          <w:bCs/>
          <w:color w:val="107FAA"/>
          <w:kern w:val="1"/>
          <w:sz w:val="28"/>
          <w:szCs w:val="28"/>
        </w:rPr>
        <w:fldChar w:fldCharType="begin"/>
      </w:r>
      <w:r>
        <w:rPr>
          <w:rFonts w:ascii="Helvetica" w:eastAsiaTheme="minorEastAsia" w:hAnsi="Helvetica" w:cs="Helvetica"/>
          <w:b/>
          <w:bCs/>
          <w:color w:val="107FAA"/>
          <w:kern w:val="1"/>
          <w:sz w:val="28"/>
          <w:szCs w:val="28"/>
        </w:rPr>
        <w:instrText>HYPERLINK "http://www.nclrights.org/our-work/housing/"</w:instrText>
      </w:r>
      <w:r>
        <w:rPr>
          <w:rFonts w:ascii="Helvetica" w:eastAsiaTheme="minorEastAsia" w:hAnsi="Helvetica" w:cs="Helvetica"/>
          <w:b/>
          <w:bCs/>
          <w:color w:val="107FAA"/>
          <w:kern w:val="1"/>
          <w:sz w:val="28"/>
          <w:szCs w:val="28"/>
        </w:rPr>
      </w:r>
      <w:r>
        <w:rPr>
          <w:rFonts w:ascii="Helvetica" w:eastAsiaTheme="minorEastAsia" w:hAnsi="Helvetica" w:cs="Helvetica"/>
          <w:b/>
          <w:bCs/>
          <w:color w:val="107FAA"/>
          <w:kern w:val="1"/>
          <w:sz w:val="28"/>
          <w:szCs w:val="28"/>
        </w:rPr>
        <w:fldChar w:fldCharType="separate"/>
      </w:r>
      <w:r>
        <w:rPr>
          <w:rFonts w:ascii="Helvetica" w:eastAsiaTheme="minorEastAsia" w:hAnsi="Helvetica" w:cs="Helvetica"/>
          <w:b/>
          <w:bCs/>
          <w:color w:val="107FAA"/>
          <w:kern w:val="0"/>
          <w:sz w:val="28"/>
          <w:szCs w:val="28"/>
        </w:rPr>
        <w:t>Housing</w:t>
      </w:r>
      <w:r>
        <w:rPr>
          <w:rFonts w:ascii="Helvetica" w:eastAsiaTheme="minorEastAsia" w:hAnsi="Helvetica" w:cs="Helvetica"/>
          <w:b/>
          <w:bCs/>
          <w:color w:val="107FAA"/>
          <w:kern w:val="1"/>
          <w:sz w:val="28"/>
          <w:szCs w:val="28"/>
        </w:rPr>
        <w:fldChar w:fldCharType="end"/>
      </w:r>
    </w:p>
    <w:p w:rsidR="00226547" w:rsidRDefault="00226547" w:rsidP="00226547">
      <w:pPr>
        <w:widowControl w:val="0"/>
        <w:numPr>
          <w:ilvl w:val="0"/>
          <w:numId w:val="1"/>
        </w:numPr>
        <w:tabs>
          <w:tab w:val="left" w:pos="220"/>
          <w:tab w:val="left" w:pos="720"/>
        </w:tabs>
        <w:autoSpaceDE w:val="0"/>
        <w:autoSpaceDN w:val="0"/>
        <w:adjustRightInd w:val="0"/>
        <w:ind w:hanging="720"/>
        <w:rPr>
          <w:rFonts w:ascii="Helvetica" w:eastAsiaTheme="minorEastAsia" w:hAnsi="Helvetica" w:cs="Helvetica"/>
          <w:kern w:val="0"/>
          <w:sz w:val="32"/>
          <w:szCs w:val="32"/>
        </w:rPr>
      </w:pPr>
      <w:r>
        <w:rPr>
          <w:rFonts w:ascii="Helvetica" w:eastAsiaTheme="minorEastAsia" w:hAnsi="Helvetica" w:cs="Helvetica"/>
          <w:b/>
          <w:bCs/>
          <w:color w:val="107FAA"/>
          <w:kern w:val="1"/>
          <w:sz w:val="28"/>
          <w:szCs w:val="28"/>
        </w:rPr>
        <w:tab/>
      </w:r>
      <w:r>
        <w:rPr>
          <w:rFonts w:ascii="Helvetica" w:eastAsiaTheme="minorEastAsia" w:hAnsi="Helvetica" w:cs="Helvetica"/>
          <w:b/>
          <w:bCs/>
          <w:color w:val="107FAA"/>
          <w:kern w:val="1"/>
          <w:sz w:val="28"/>
          <w:szCs w:val="28"/>
        </w:rPr>
        <w:tab/>
      </w:r>
      <w:r>
        <w:rPr>
          <w:rFonts w:ascii="Helvetica" w:eastAsiaTheme="minorEastAsia" w:hAnsi="Helvetica" w:cs="Helvetica"/>
          <w:b/>
          <w:bCs/>
          <w:color w:val="107FAA"/>
          <w:kern w:val="1"/>
          <w:sz w:val="28"/>
          <w:szCs w:val="28"/>
        </w:rPr>
        <w:fldChar w:fldCharType="begin"/>
      </w:r>
      <w:r>
        <w:rPr>
          <w:rFonts w:ascii="Helvetica" w:eastAsiaTheme="minorEastAsia" w:hAnsi="Helvetica" w:cs="Helvetica"/>
          <w:b/>
          <w:bCs/>
          <w:color w:val="107FAA"/>
          <w:kern w:val="1"/>
          <w:sz w:val="28"/>
          <w:szCs w:val="28"/>
        </w:rPr>
        <w:instrText>HYPERLINK "http://www.nclrights.org/our-work/low-income-poverty/"</w:instrText>
      </w:r>
      <w:r>
        <w:rPr>
          <w:rFonts w:ascii="Helvetica" w:eastAsiaTheme="minorEastAsia" w:hAnsi="Helvetica" w:cs="Helvetica"/>
          <w:b/>
          <w:bCs/>
          <w:color w:val="107FAA"/>
          <w:kern w:val="1"/>
          <w:sz w:val="28"/>
          <w:szCs w:val="28"/>
        </w:rPr>
      </w:r>
      <w:r>
        <w:rPr>
          <w:rFonts w:ascii="Helvetica" w:eastAsiaTheme="minorEastAsia" w:hAnsi="Helvetica" w:cs="Helvetica"/>
          <w:b/>
          <w:bCs/>
          <w:color w:val="107FAA"/>
          <w:kern w:val="1"/>
          <w:sz w:val="28"/>
          <w:szCs w:val="28"/>
        </w:rPr>
        <w:fldChar w:fldCharType="separate"/>
      </w:r>
      <w:r>
        <w:rPr>
          <w:rFonts w:ascii="Helvetica" w:eastAsiaTheme="minorEastAsia" w:hAnsi="Helvetica" w:cs="Helvetica"/>
          <w:b/>
          <w:bCs/>
          <w:color w:val="107FAA"/>
          <w:kern w:val="0"/>
          <w:sz w:val="28"/>
          <w:szCs w:val="28"/>
        </w:rPr>
        <w:t>Low Income &amp; Poverty</w:t>
      </w:r>
      <w:r>
        <w:rPr>
          <w:rFonts w:ascii="Helvetica" w:eastAsiaTheme="minorEastAsia" w:hAnsi="Helvetica" w:cs="Helvetica"/>
          <w:b/>
          <w:bCs/>
          <w:color w:val="107FAA"/>
          <w:kern w:val="1"/>
          <w:sz w:val="28"/>
          <w:szCs w:val="28"/>
        </w:rPr>
        <w:fldChar w:fldCharType="end"/>
      </w:r>
    </w:p>
    <w:p w:rsidR="00226547" w:rsidRDefault="00226547" w:rsidP="00226547">
      <w:pPr>
        <w:widowControl w:val="0"/>
        <w:numPr>
          <w:ilvl w:val="0"/>
          <w:numId w:val="1"/>
        </w:numPr>
        <w:tabs>
          <w:tab w:val="left" w:pos="220"/>
          <w:tab w:val="left" w:pos="720"/>
        </w:tabs>
        <w:autoSpaceDE w:val="0"/>
        <w:autoSpaceDN w:val="0"/>
        <w:adjustRightInd w:val="0"/>
        <w:ind w:hanging="720"/>
        <w:rPr>
          <w:rFonts w:ascii="Helvetica" w:eastAsiaTheme="minorEastAsia" w:hAnsi="Helvetica" w:cs="Helvetica"/>
          <w:kern w:val="0"/>
          <w:sz w:val="32"/>
          <w:szCs w:val="32"/>
        </w:rPr>
      </w:pPr>
      <w:r>
        <w:rPr>
          <w:rFonts w:ascii="Helvetica" w:eastAsiaTheme="minorEastAsia" w:hAnsi="Helvetica" w:cs="Helvetica"/>
          <w:b/>
          <w:bCs/>
          <w:color w:val="107FAA"/>
          <w:kern w:val="1"/>
          <w:sz w:val="28"/>
          <w:szCs w:val="28"/>
        </w:rPr>
        <w:tab/>
      </w:r>
      <w:r>
        <w:rPr>
          <w:rFonts w:ascii="Helvetica" w:eastAsiaTheme="minorEastAsia" w:hAnsi="Helvetica" w:cs="Helvetica"/>
          <w:b/>
          <w:bCs/>
          <w:color w:val="107FAA"/>
          <w:kern w:val="1"/>
          <w:sz w:val="28"/>
          <w:szCs w:val="28"/>
        </w:rPr>
        <w:tab/>
      </w:r>
      <w:r>
        <w:rPr>
          <w:rFonts w:ascii="Helvetica" w:eastAsiaTheme="minorEastAsia" w:hAnsi="Helvetica" w:cs="Helvetica"/>
          <w:b/>
          <w:bCs/>
          <w:color w:val="107FAA"/>
          <w:kern w:val="1"/>
          <w:sz w:val="28"/>
          <w:szCs w:val="28"/>
        </w:rPr>
        <w:fldChar w:fldCharType="begin"/>
      </w:r>
      <w:r>
        <w:rPr>
          <w:rFonts w:ascii="Helvetica" w:eastAsiaTheme="minorEastAsia" w:hAnsi="Helvetica" w:cs="Helvetica"/>
          <w:b/>
          <w:bCs/>
          <w:color w:val="107FAA"/>
          <w:kern w:val="1"/>
          <w:sz w:val="28"/>
          <w:szCs w:val="28"/>
        </w:rPr>
        <w:instrText>HYPERLINK "http://www.nclrights.org/our-work/prisons/"</w:instrText>
      </w:r>
      <w:r>
        <w:rPr>
          <w:rFonts w:ascii="Helvetica" w:eastAsiaTheme="minorEastAsia" w:hAnsi="Helvetica" w:cs="Helvetica"/>
          <w:b/>
          <w:bCs/>
          <w:color w:val="107FAA"/>
          <w:kern w:val="1"/>
          <w:sz w:val="28"/>
          <w:szCs w:val="28"/>
        </w:rPr>
      </w:r>
      <w:r>
        <w:rPr>
          <w:rFonts w:ascii="Helvetica" w:eastAsiaTheme="minorEastAsia" w:hAnsi="Helvetica" w:cs="Helvetica"/>
          <w:b/>
          <w:bCs/>
          <w:color w:val="107FAA"/>
          <w:kern w:val="1"/>
          <w:sz w:val="28"/>
          <w:szCs w:val="28"/>
        </w:rPr>
        <w:fldChar w:fldCharType="separate"/>
      </w:r>
      <w:r>
        <w:rPr>
          <w:rFonts w:ascii="Helvetica" w:eastAsiaTheme="minorEastAsia" w:hAnsi="Helvetica" w:cs="Helvetica"/>
          <w:b/>
          <w:bCs/>
          <w:color w:val="107FAA"/>
          <w:kern w:val="0"/>
          <w:sz w:val="28"/>
          <w:szCs w:val="28"/>
        </w:rPr>
        <w:t>Prisons</w:t>
      </w:r>
      <w:r>
        <w:rPr>
          <w:rFonts w:ascii="Helvetica" w:eastAsiaTheme="minorEastAsia" w:hAnsi="Helvetica" w:cs="Helvetica"/>
          <w:b/>
          <w:bCs/>
          <w:color w:val="107FAA"/>
          <w:kern w:val="1"/>
          <w:sz w:val="28"/>
          <w:szCs w:val="28"/>
        </w:rPr>
        <w:fldChar w:fldCharType="end"/>
      </w:r>
    </w:p>
    <w:p w:rsidR="00226547" w:rsidRDefault="00226547" w:rsidP="00226547">
      <w:pPr>
        <w:widowControl w:val="0"/>
        <w:numPr>
          <w:ilvl w:val="0"/>
          <w:numId w:val="1"/>
        </w:numPr>
        <w:tabs>
          <w:tab w:val="left" w:pos="220"/>
          <w:tab w:val="left" w:pos="720"/>
        </w:tabs>
        <w:autoSpaceDE w:val="0"/>
        <w:autoSpaceDN w:val="0"/>
        <w:adjustRightInd w:val="0"/>
        <w:ind w:hanging="720"/>
        <w:rPr>
          <w:rFonts w:ascii="Helvetica" w:eastAsiaTheme="minorEastAsia" w:hAnsi="Helvetica" w:cs="Helvetica"/>
          <w:kern w:val="0"/>
          <w:sz w:val="32"/>
          <w:szCs w:val="32"/>
        </w:rPr>
      </w:pPr>
      <w:r>
        <w:rPr>
          <w:rFonts w:ascii="Helvetica" w:eastAsiaTheme="minorEastAsia" w:hAnsi="Helvetica" w:cs="Helvetica"/>
          <w:b/>
          <w:bCs/>
          <w:color w:val="107FAA"/>
          <w:kern w:val="1"/>
          <w:sz w:val="28"/>
          <w:szCs w:val="28"/>
        </w:rPr>
        <w:tab/>
      </w:r>
      <w:r>
        <w:rPr>
          <w:rFonts w:ascii="Helvetica" w:eastAsiaTheme="minorEastAsia" w:hAnsi="Helvetica" w:cs="Helvetica"/>
          <w:b/>
          <w:bCs/>
          <w:color w:val="107FAA"/>
          <w:kern w:val="1"/>
          <w:sz w:val="28"/>
          <w:szCs w:val="28"/>
        </w:rPr>
        <w:tab/>
      </w:r>
      <w:r>
        <w:rPr>
          <w:rFonts w:ascii="Helvetica" w:eastAsiaTheme="minorEastAsia" w:hAnsi="Helvetica" w:cs="Helvetica"/>
          <w:b/>
          <w:bCs/>
          <w:color w:val="107FAA"/>
          <w:kern w:val="1"/>
          <w:sz w:val="28"/>
          <w:szCs w:val="28"/>
        </w:rPr>
        <w:fldChar w:fldCharType="begin"/>
      </w:r>
      <w:r>
        <w:rPr>
          <w:rFonts w:ascii="Helvetica" w:eastAsiaTheme="minorEastAsia" w:hAnsi="Helvetica" w:cs="Helvetica"/>
          <w:b/>
          <w:bCs/>
          <w:color w:val="107FAA"/>
          <w:kern w:val="1"/>
          <w:sz w:val="28"/>
          <w:szCs w:val="28"/>
        </w:rPr>
        <w:instrText>HYPERLINK "http://www.nclrights.org/our-work/rural-communities/"</w:instrText>
      </w:r>
      <w:r>
        <w:rPr>
          <w:rFonts w:ascii="Helvetica" w:eastAsiaTheme="minorEastAsia" w:hAnsi="Helvetica" w:cs="Helvetica"/>
          <w:b/>
          <w:bCs/>
          <w:color w:val="107FAA"/>
          <w:kern w:val="1"/>
          <w:sz w:val="28"/>
          <w:szCs w:val="28"/>
        </w:rPr>
      </w:r>
      <w:r>
        <w:rPr>
          <w:rFonts w:ascii="Helvetica" w:eastAsiaTheme="minorEastAsia" w:hAnsi="Helvetica" w:cs="Helvetica"/>
          <w:b/>
          <w:bCs/>
          <w:color w:val="107FAA"/>
          <w:kern w:val="1"/>
          <w:sz w:val="28"/>
          <w:szCs w:val="28"/>
        </w:rPr>
        <w:fldChar w:fldCharType="separate"/>
      </w:r>
      <w:r>
        <w:rPr>
          <w:rFonts w:ascii="Helvetica" w:eastAsiaTheme="minorEastAsia" w:hAnsi="Helvetica" w:cs="Helvetica"/>
          <w:b/>
          <w:bCs/>
          <w:color w:val="107FAA"/>
          <w:kern w:val="0"/>
          <w:sz w:val="28"/>
          <w:szCs w:val="28"/>
        </w:rPr>
        <w:t>Rural Communities</w:t>
      </w:r>
      <w:r>
        <w:rPr>
          <w:rFonts w:ascii="Helvetica" w:eastAsiaTheme="minorEastAsia" w:hAnsi="Helvetica" w:cs="Helvetica"/>
          <w:b/>
          <w:bCs/>
          <w:color w:val="107FAA"/>
          <w:kern w:val="1"/>
          <w:sz w:val="28"/>
          <w:szCs w:val="28"/>
        </w:rPr>
        <w:fldChar w:fldCharType="end"/>
      </w:r>
    </w:p>
    <w:p w:rsidR="00226547" w:rsidRDefault="00226547" w:rsidP="00226547">
      <w:pPr>
        <w:widowControl w:val="0"/>
        <w:numPr>
          <w:ilvl w:val="0"/>
          <w:numId w:val="1"/>
        </w:numPr>
        <w:tabs>
          <w:tab w:val="left" w:pos="220"/>
          <w:tab w:val="left" w:pos="720"/>
        </w:tabs>
        <w:autoSpaceDE w:val="0"/>
        <w:autoSpaceDN w:val="0"/>
        <w:adjustRightInd w:val="0"/>
        <w:ind w:hanging="720"/>
        <w:rPr>
          <w:rFonts w:ascii="Helvetica" w:eastAsiaTheme="minorEastAsia" w:hAnsi="Helvetica" w:cs="Helvetica"/>
          <w:kern w:val="0"/>
          <w:sz w:val="32"/>
          <w:szCs w:val="32"/>
        </w:rPr>
      </w:pPr>
      <w:r>
        <w:rPr>
          <w:rFonts w:ascii="Helvetica" w:eastAsiaTheme="minorEastAsia" w:hAnsi="Helvetica" w:cs="Helvetica"/>
          <w:b/>
          <w:bCs/>
          <w:color w:val="107FAA"/>
          <w:kern w:val="1"/>
          <w:sz w:val="28"/>
          <w:szCs w:val="28"/>
        </w:rPr>
        <w:tab/>
      </w:r>
      <w:r>
        <w:rPr>
          <w:rFonts w:ascii="Helvetica" w:eastAsiaTheme="minorEastAsia" w:hAnsi="Helvetica" w:cs="Helvetica"/>
          <w:b/>
          <w:bCs/>
          <w:color w:val="107FAA"/>
          <w:kern w:val="1"/>
          <w:sz w:val="28"/>
          <w:szCs w:val="28"/>
        </w:rPr>
        <w:tab/>
      </w:r>
      <w:r>
        <w:rPr>
          <w:rFonts w:ascii="Helvetica" w:eastAsiaTheme="minorEastAsia" w:hAnsi="Helvetica" w:cs="Helvetica"/>
          <w:b/>
          <w:bCs/>
          <w:color w:val="107FAA"/>
          <w:kern w:val="1"/>
          <w:sz w:val="28"/>
          <w:szCs w:val="28"/>
        </w:rPr>
        <w:fldChar w:fldCharType="begin"/>
      </w:r>
      <w:r>
        <w:rPr>
          <w:rFonts w:ascii="Helvetica" w:eastAsiaTheme="minorEastAsia" w:hAnsi="Helvetica" w:cs="Helvetica"/>
          <w:b/>
          <w:bCs/>
          <w:color w:val="107FAA"/>
          <w:kern w:val="1"/>
          <w:sz w:val="28"/>
          <w:szCs w:val="28"/>
        </w:rPr>
        <w:instrText>HYPERLINK "http://www.nclrights.org/our-work/sports/"</w:instrText>
      </w:r>
      <w:r>
        <w:rPr>
          <w:rFonts w:ascii="Helvetica" w:eastAsiaTheme="minorEastAsia" w:hAnsi="Helvetica" w:cs="Helvetica"/>
          <w:b/>
          <w:bCs/>
          <w:color w:val="107FAA"/>
          <w:kern w:val="1"/>
          <w:sz w:val="28"/>
          <w:szCs w:val="28"/>
        </w:rPr>
      </w:r>
      <w:r>
        <w:rPr>
          <w:rFonts w:ascii="Helvetica" w:eastAsiaTheme="minorEastAsia" w:hAnsi="Helvetica" w:cs="Helvetica"/>
          <w:b/>
          <w:bCs/>
          <w:color w:val="107FAA"/>
          <w:kern w:val="1"/>
          <w:sz w:val="28"/>
          <w:szCs w:val="28"/>
        </w:rPr>
        <w:fldChar w:fldCharType="separate"/>
      </w:r>
      <w:r>
        <w:rPr>
          <w:rFonts w:ascii="Helvetica" w:eastAsiaTheme="minorEastAsia" w:hAnsi="Helvetica" w:cs="Helvetica"/>
          <w:b/>
          <w:bCs/>
          <w:color w:val="107FAA"/>
          <w:kern w:val="0"/>
          <w:sz w:val="28"/>
          <w:szCs w:val="28"/>
        </w:rPr>
        <w:t>Sports</w:t>
      </w:r>
      <w:r>
        <w:rPr>
          <w:rFonts w:ascii="Helvetica" w:eastAsiaTheme="minorEastAsia" w:hAnsi="Helvetica" w:cs="Helvetica"/>
          <w:b/>
          <w:bCs/>
          <w:color w:val="107FAA"/>
          <w:kern w:val="1"/>
          <w:sz w:val="28"/>
          <w:szCs w:val="28"/>
        </w:rPr>
        <w:fldChar w:fldCharType="end"/>
      </w:r>
    </w:p>
    <w:p w:rsidR="00226547" w:rsidRDefault="00226547" w:rsidP="00226547">
      <w:pPr>
        <w:widowControl w:val="0"/>
        <w:numPr>
          <w:ilvl w:val="0"/>
          <w:numId w:val="1"/>
        </w:numPr>
        <w:tabs>
          <w:tab w:val="left" w:pos="220"/>
          <w:tab w:val="left" w:pos="720"/>
        </w:tabs>
        <w:autoSpaceDE w:val="0"/>
        <w:autoSpaceDN w:val="0"/>
        <w:adjustRightInd w:val="0"/>
        <w:ind w:hanging="720"/>
        <w:rPr>
          <w:rFonts w:ascii="Helvetica" w:eastAsiaTheme="minorEastAsia" w:hAnsi="Helvetica" w:cs="Helvetica"/>
          <w:kern w:val="0"/>
          <w:sz w:val="32"/>
          <w:szCs w:val="32"/>
        </w:rPr>
      </w:pPr>
      <w:r>
        <w:rPr>
          <w:rFonts w:ascii="Helvetica" w:eastAsiaTheme="minorEastAsia" w:hAnsi="Helvetica" w:cs="Helvetica"/>
          <w:b/>
          <w:bCs/>
          <w:color w:val="107FAA"/>
          <w:kern w:val="1"/>
          <w:sz w:val="28"/>
          <w:szCs w:val="28"/>
        </w:rPr>
        <w:tab/>
      </w:r>
      <w:r>
        <w:rPr>
          <w:rFonts w:ascii="Helvetica" w:eastAsiaTheme="minorEastAsia" w:hAnsi="Helvetica" w:cs="Helvetica"/>
          <w:b/>
          <w:bCs/>
          <w:color w:val="107FAA"/>
          <w:kern w:val="1"/>
          <w:sz w:val="28"/>
          <w:szCs w:val="28"/>
        </w:rPr>
        <w:tab/>
      </w:r>
      <w:r>
        <w:rPr>
          <w:rFonts w:ascii="Helvetica" w:eastAsiaTheme="minorEastAsia" w:hAnsi="Helvetica" w:cs="Helvetica"/>
          <w:b/>
          <w:bCs/>
          <w:color w:val="107FAA"/>
          <w:kern w:val="1"/>
          <w:sz w:val="28"/>
          <w:szCs w:val="28"/>
        </w:rPr>
        <w:fldChar w:fldCharType="begin"/>
      </w:r>
      <w:r>
        <w:rPr>
          <w:rFonts w:ascii="Helvetica" w:eastAsiaTheme="minorEastAsia" w:hAnsi="Helvetica" w:cs="Helvetica"/>
          <w:b/>
          <w:bCs/>
          <w:color w:val="107FAA"/>
          <w:kern w:val="1"/>
          <w:sz w:val="28"/>
          <w:szCs w:val="28"/>
        </w:rPr>
        <w:instrText>HYPERLINK "http://www.nclrights.org/our-work/transgender-law/"</w:instrText>
      </w:r>
      <w:r>
        <w:rPr>
          <w:rFonts w:ascii="Helvetica" w:eastAsiaTheme="minorEastAsia" w:hAnsi="Helvetica" w:cs="Helvetica"/>
          <w:b/>
          <w:bCs/>
          <w:color w:val="107FAA"/>
          <w:kern w:val="1"/>
          <w:sz w:val="28"/>
          <w:szCs w:val="28"/>
        </w:rPr>
      </w:r>
      <w:r>
        <w:rPr>
          <w:rFonts w:ascii="Helvetica" w:eastAsiaTheme="minorEastAsia" w:hAnsi="Helvetica" w:cs="Helvetica"/>
          <w:b/>
          <w:bCs/>
          <w:color w:val="107FAA"/>
          <w:kern w:val="1"/>
          <w:sz w:val="28"/>
          <w:szCs w:val="28"/>
        </w:rPr>
        <w:fldChar w:fldCharType="separate"/>
      </w:r>
      <w:r>
        <w:rPr>
          <w:rFonts w:ascii="Helvetica" w:eastAsiaTheme="minorEastAsia" w:hAnsi="Helvetica" w:cs="Helvetica"/>
          <w:b/>
          <w:bCs/>
          <w:color w:val="107FAA"/>
          <w:kern w:val="0"/>
          <w:sz w:val="28"/>
          <w:szCs w:val="28"/>
        </w:rPr>
        <w:t>Transgender Law</w:t>
      </w:r>
      <w:r>
        <w:rPr>
          <w:rFonts w:ascii="Helvetica" w:eastAsiaTheme="minorEastAsia" w:hAnsi="Helvetica" w:cs="Helvetica"/>
          <w:b/>
          <w:bCs/>
          <w:color w:val="107FAA"/>
          <w:kern w:val="1"/>
          <w:sz w:val="28"/>
          <w:szCs w:val="28"/>
        </w:rPr>
        <w:fldChar w:fldCharType="end"/>
      </w:r>
    </w:p>
    <w:p w:rsidR="00226547" w:rsidRDefault="00226547" w:rsidP="00226547">
      <w:pPr>
        <w:widowControl w:val="0"/>
        <w:numPr>
          <w:ilvl w:val="0"/>
          <w:numId w:val="1"/>
        </w:numPr>
        <w:tabs>
          <w:tab w:val="left" w:pos="220"/>
          <w:tab w:val="left" w:pos="720"/>
        </w:tabs>
        <w:autoSpaceDE w:val="0"/>
        <w:autoSpaceDN w:val="0"/>
        <w:adjustRightInd w:val="0"/>
        <w:ind w:hanging="720"/>
        <w:rPr>
          <w:rFonts w:ascii="Helvetica" w:eastAsiaTheme="minorEastAsia" w:hAnsi="Helvetica" w:cs="Helvetica"/>
          <w:kern w:val="0"/>
          <w:sz w:val="32"/>
          <w:szCs w:val="32"/>
        </w:rPr>
      </w:pPr>
      <w:r>
        <w:rPr>
          <w:rFonts w:ascii="Helvetica" w:eastAsiaTheme="minorEastAsia" w:hAnsi="Helvetica" w:cs="Helvetica"/>
          <w:b/>
          <w:bCs/>
          <w:color w:val="107FAA"/>
          <w:kern w:val="1"/>
          <w:sz w:val="28"/>
          <w:szCs w:val="28"/>
        </w:rPr>
        <w:tab/>
      </w:r>
      <w:r>
        <w:rPr>
          <w:rFonts w:ascii="Helvetica" w:eastAsiaTheme="minorEastAsia" w:hAnsi="Helvetica" w:cs="Helvetica"/>
          <w:b/>
          <w:bCs/>
          <w:color w:val="107FAA"/>
          <w:kern w:val="1"/>
          <w:sz w:val="28"/>
          <w:szCs w:val="28"/>
        </w:rPr>
        <w:tab/>
      </w:r>
      <w:r>
        <w:rPr>
          <w:rFonts w:ascii="Helvetica" w:eastAsiaTheme="minorEastAsia" w:hAnsi="Helvetica" w:cs="Helvetica"/>
          <w:b/>
          <w:bCs/>
          <w:color w:val="107FAA"/>
          <w:kern w:val="1"/>
          <w:sz w:val="28"/>
          <w:szCs w:val="28"/>
        </w:rPr>
        <w:fldChar w:fldCharType="begin"/>
      </w:r>
      <w:r>
        <w:rPr>
          <w:rFonts w:ascii="Helvetica" w:eastAsiaTheme="minorEastAsia" w:hAnsi="Helvetica" w:cs="Helvetica"/>
          <w:b/>
          <w:bCs/>
          <w:color w:val="107FAA"/>
          <w:kern w:val="1"/>
          <w:sz w:val="28"/>
          <w:szCs w:val="28"/>
        </w:rPr>
        <w:instrText>HYPERLINK "http://www.nclrights.org/our-work/youth/"</w:instrText>
      </w:r>
      <w:r>
        <w:rPr>
          <w:rFonts w:ascii="Helvetica" w:eastAsiaTheme="minorEastAsia" w:hAnsi="Helvetica" w:cs="Helvetica"/>
          <w:b/>
          <w:bCs/>
          <w:color w:val="107FAA"/>
          <w:kern w:val="1"/>
          <w:sz w:val="28"/>
          <w:szCs w:val="28"/>
        </w:rPr>
      </w:r>
      <w:r>
        <w:rPr>
          <w:rFonts w:ascii="Helvetica" w:eastAsiaTheme="minorEastAsia" w:hAnsi="Helvetica" w:cs="Helvetica"/>
          <w:b/>
          <w:bCs/>
          <w:color w:val="107FAA"/>
          <w:kern w:val="1"/>
          <w:sz w:val="28"/>
          <w:szCs w:val="28"/>
        </w:rPr>
        <w:fldChar w:fldCharType="separate"/>
      </w:r>
      <w:r>
        <w:rPr>
          <w:rFonts w:ascii="Helvetica" w:eastAsiaTheme="minorEastAsia" w:hAnsi="Helvetica" w:cs="Helvetica"/>
          <w:b/>
          <w:bCs/>
          <w:color w:val="107FAA"/>
          <w:kern w:val="0"/>
          <w:sz w:val="28"/>
          <w:szCs w:val="28"/>
        </w:rPr>
        <w:t>Youth</w:t>
      </w:r>
      <w:r>
        <w:rPr>
          <w:rFonts w:ascii="Helvetica" w:eastAsiaTheme="minorEastAsia" w:hAnsi="Helvetica" w:cs="Helvetica"/>
          <w:b/>
          <w:bCs/>
          <w:color w:val="107FAA"/>
          <w:kern w:val="1"/>
          <w:sz w:val="28"/>
          <w:szCs w:val="28"/>
        </w:rPr>
        <w:fldChar w:fldCharType="end"/>
      </w:r>
    </w:p>
    <w:p w:rsidR="00226547" w:rsidRDefault="00226547" w:rsidP="00226547">
      <w:pPr>
        <w:widowControl w:val="0"/>
        <w:numPr>
          <w:ilvl w:val="0"/>
          <w:numId w:val="1"/>
        </w:numPr>
        <w:tabs>
          <w:tab w:val="left" w:pos="220"/>
          <w:tab w:val="left" w:pos="720"/>
        </w:tabs>
        <w:autoSpaceDE w:val="0"/>
        <w:autoSpaceDN w:val="0"/>
        <w:adjustRightInd w:val="0"/>
        <w:ind w:hanging="720"/>
        <w:rPr>
          <w:rFonts w:ascii="Helvetica" w:eastAsiaTheme="minorEastAsia" w:hAnsi="Helvetica" w:cs="Helvetica"/>
          <w:kern w:val="0"/>
          <w:sz w:val="32"/>
          <w:szCs w:val="32"/>
        </w:rPr>
      </w:pPr>
      <w:r>
        <w:rPr>
          <w:rFonts w:ascii="Helvetica" w:eastAsiaTheme="minorEastAsia" w:hAnsi="Helvetica" w:cs="Helvetica"/>
          <w:b/>
          <w:bCs/>
          <w:color w:val="107FAA"/>
          <w:kern w:val="1"/>
          <w:sz w:val="28"/>
          <w:szCs w:val="28"/>
        </w:rPr>
        <w:tab/>
      </w:r>
      <w:r>
        <w:rPr>
          <w:rFonts w:ascii="Helvetica" w:eastAsiaTheme="minorEastAsia" w:hAnsi="Helvetica" w:cs="Helvetica"/>
          <w:b/>
          <w:bCs/>
          <w:color w:val="107FAA"/>
          <w:kern w:val="1"/>
          <w:sz w:val="28"/>
          <w:szCs w:val="28"/>
        </w:rPr>
        <w:tab/>
      </w:r>
      <w:r>
        <w:rPr>
          <w:rFonts w:ascii="Helvetica" w:eastAsiaTheme="minorEastAsia" w:hAnsi="Helvetica" w:cs="Helvetica"/>
          <w:b/>
          <w:bCs/>
          <w:color w:val="107FAA"/>
          <w:kern w:val="1"/>
          <w:sz w:val="28"/>
          <w:szCs w:val="28"/>
        </w:rPr>
        <w:fldChar w:fldCharType="begin"/>
      </w:r>
      <w:r>
        <w:rPr>
          <w:rFonts w:ascii="Helvetica" w:eastAsiaTheme="minorEastAsia" w:hAnsi="Helvetica" w:cs="Helvetica"/>
          <w:b/>
          <w:bCs/>
          <w:color w:val="107FAA"/>
          <w:kern w:val="1"/>
          <w:sz w:val="28"/>
          <w:szCs w:val="28"/>
        </w:rPr>
        <w:instrText>HYPERLINK "http://www.nclrights.org/our-work/additional-civil-rights/"</w:instrText>
      </w:r>
      <w:r>
        <w:rPr>
          <w:rFonts w:ascii="Helvetica" w:eastAsiaTheme="minorEastAsia" w:hAnsi="Helvetica" w:cs="Helvetica"/>
          <w:b/>
          <w:bCs/>
          <w:color w:val="107FAA"/>
          <w:kern w:val="1"/>
          <w:sz w:val="28"/>
          <w:szCs w:val="28"/>
        </w:rPr>
      </w:r>
      <w:r>
        <w:rPr>
          <w:rFonts w:ascii="Helvetica" w:eastAsiaTheme="minorEastAsia" w:hAnsi="Helvetica" w:cs="Helvetica"/>
          <w:b/>
          <w:bCs/>
          <w:color w:val="107FAA"/>
          <w:kern w:val="1"/>
          <w:sz w:val="28"/>
          <w:szCs w:val="28"/>
        </w:rPr>
        <w:fldChar w:fldCharType="separate"/>
      </w:r>
      <w:r>
        <w:rPr>
          <w:rFonts w:ascii="Helvetica" w:eastAsiaTheme="minorEastAsia" w:hAnsi="Helvetica" w:cs="Helvetica"/>
          <w:b/>
          <w:bCs/>
          <w:color w:val="107FAA"/>
          <w:kern w:val="0"/>
          <w:sz w:val="28"/>
          <w:szCs w:val="28"/>
        </w:rPr>
        <w:t>Additional Civil Rights</w:t>
      </w:r>
      <w:r>
        <w:rPr>
          <w:rFonts w:ascii="Helvetica" w:eastAsiaTheme="minorEastAsia" w:hAnsi="Helvetica" w:cs="Helvetica"/>
          <w:b/>
          <w:bCs/>
          <w:color w:val="107FAA"/>
          <w:kern w:val="1"/>
          <w:sz w:val="28"/>
          <w:szCs w:val="28"/>
        </w:rPr>
        <w:fldChar w:fldCharType="end"/>
      </w:r>
    </w:p>
    <w:p w:rsidR="00226547" w:rsidRDefault="00226547" w:rsidP="00226547">
      <w:pPr>
        <w:widowControl w:val="0"/>
        <w:autoSpaceDE w:val="0"/>
        <w:autoSpaceDN w:val="0"/>
        <w:adjustRightInd w:val="0"/>
        <w:rPr>
          <w:rFonts w:ascii="Helvetica" w:eastAsiaTheme="minorEastAsia" w:hAnsi="Helvetica" w:cs="Helvetica"/>
          <w:kern w:val="0"/>
          <w:sz w:val="28"/>
          <w:szCs w:val="28"/>
        </w:rPr>
      </w:pPr>
      <w:r>
        <w:rPr>
          <w:rFonts w:ascii="Helvetica" w:eastAsiaTheme="minorEastAsia" w:hAnsi="Helvetica" w:cs="Helvetica"/>
          <w:noProof/>
          <w:kern w:val="0"/>
          <w:sz w:val="28"/>
          <w:szCs w:val="28"/>
          <w:lang w:eastAsia="en-US"/>
        </w:rPr>
        <w:drawing>
          <wp:inline distT="0" distB="0" distL="0" distR="0">
            <wp:extent cx="7670800" cy="32639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70800" cy="3263900"/>
                    </a:xfrm>
                    <a:prstGeom prst="rect">
                      <a:avLst/>
                    </a:prstGeom>
                    <a:noFill/>
                    <a:ln>
                      <a:noFill/>
                    </a:ln>
                  </pic:spPr>
                </pic:pic>
              </a:graphicData>
            </a:graphic>
          </wp:inline>
        </w:drawing>
      </w:r>
    </w:p>
    <w:p w:rsidR="00226547" w:rsidRDefault="00226547" w:rsidP="00226547">
      <w:pPr>
        <w:widowControl w:val="0"/>
        <w:autoSpaceDE w:val="0"/>
        <w:autoSpaceDN w:val="0"/>
        <w:adjustRightInd w:val="0"/>
        <w:rPr>
          <w:rFonts w:ascii="Helvetica" w:eastAsiaTheme="minorEastAsia" w:hAnsi="Helvetica" w:cs="Helvetica"/>
          <w:kern w:val="0"/>
          <w:sz w:val="28"/>
          <w:szCs w:val="28"/>
        </w:rPr>
      </w:pPr>
      <w:r>
        <w:rPr>
          <w:rFonts w:ascii="Helvetica" w:eastAsiaTheme="minorEastAsia" w:hAnsi="Helvetica" w:cs="Helvetica"/>
          <w:kern w:val="0"/>
          <w:sz w:val="28"/>
          <w:szCs w:val="28"/>
        </w:rPr>
        <w:t xml:space="preserve">In June 2014, NCLR launched </w:t>
      </w:r>
      <w:r>
        <w:rPr>
          <w:rFonts w:ascii="Helvetica" w:eastAsiaTheme="minorEastAsia" w:hAnsi="Helvetica" w:cs="Helvetica"/>
          <w:b/>
          <w:bCs/>
          <w:color w:val="852302"/>
          <w:kern w:val="0"/>
          <w:sz w:val="28"/>
          <w:szCs w:val="28"/>
        </w:rPr>
        <w:t>#</w:t>
      </w:r>
      <w:proofErr w:type="spellStart"/>
      <w:r>
        <w:rPr>
          <w:rFonts w:ascii="Helvetica" w:eastAsiaTheme="minorEastAsia" w:hAnsi="Helvetica" w:cs="Helvetica"/>
          <w:b/>
          <w:bCs/>
          <w:color w:val="852302"/>
          <w:kern w:val="0"/>
          <w:sz w:val="28"/>
          <w:szCs w:val="28"/>
        </w:rPr>
        <w:t>BornPerfect</w:t>
      </w:r>
      <w:proofErr w:type="spellEnd"/>
      <w:r>
        <w:rPr>
          <w:rFonts w:ascii="Helvetica" w:eastAsiaTheme="minorEastAsia" w:hAnsi="Helvetica" w:cs="Helvetica"/>
          <w:b/>
          <w:bCs/>
          <w:color w:val="852302"/>
          <w:kern w:val="0"/>
          <w:sz w:val="28"/>
          <w:szCs w:val="28"/>
        </w:rPr>
        <w:t>: The Campaign to End Conversion Therapy</w:t>
      </w:r>
      <w:r>
        <w:rPr>
          <w:rFonts w:ascii="Helvetica" w:eastAsiaTheme="minorEastAsia" w:hAnsi="Helvetica" w:cs="Helvetica"/>
          <w:color w:val="852302"/>
          <w:kern w:val="0"/>
          <w:sz w:val="28"/>
          <w:szCs w:val="28"/>
        </w:rPr>
        <w:t xml:space="preserve"> </w:t>
      </w:r>
      <w:r>
        <w:rPr>
          <w:rFonts w:ascii="Helvetica" w:eastAsiaTheme="minorEastAsia" w:hAnsi="Helvetica" w:cs="Helvetica"/>
          <w:kern w:val="0"/>
          <w:sz w:val="28"/>
          <w:szCs w:val="28"/>
        </w:rPr>
        <w:t>in five years by passing laws across the country to protect LGBT children and young people, fighting in courtrooms to ensure their safety, and raising awareness about the serious harms caused by these dangerous practices.</w:t>
      </w:r>
    </w:p>
    <w:p w:rsidR="00226547" w:rsidRDefault="00226547" w:rsidP="00226547">
      <w:pPr>
        <w:widowControl w:val="0"/>
        <w:autoSpaceDE w:val="0"/>
        <w:autoSpaceDN w:val="0"/>
        <w:adjustRightInd w:val="0"/>
        <w:rPr>
          <w:rFonts w:ascii="Helvetica" w:eastAsiaTheme="minorEastAsia" w:hAnsi="Helvetica" w:cs="Helvetica"/>
          <w:kern w:val="0"/>
          <w:sz w:val="28"/>
          <w:szCs w:val="28"/>
        </w:rPr>
      </w:pPr>
      <w:r>
        <w:rPr>
          <w:rFonts w:ascii="Helvetica" w:eastAsiaTheme="minorEastAsia" w:hAnsi="Helvetica" w:cs="Helvetica"/>
          <w:kern w:val="0"/>
          <w:sz w:val="28"/>
          <w:szCs w:val="28"/>
        </w:rPr>
        <w:lastRenderedPageBreak/>
        <w:t>Few practices hurt LGBT youth more than attempts to change their sexual orientation or gender identity through so-called conversion therapy, which can cause depression, substance abuse, and even suicide.</w:t>
      </w:r>
    </w:p>
    <w:p w:rsidR="00226547" w:rsidRDefault="00226547" w:rsidP="00226547">
      <w:pPr>
        <w:widowControl w:val="0"/>
        <w:autoSpaceDE w:val="0"/>
        <w:autoSpaceDN w:val="0"/>
        <w:adjustRightInd w:val="0"/>
        <w:rPr>
          <w:rFonts w:ascii="Helvetica" w:eastAsiaTheme="minorEastAsia" w:hAnsi="Helvetica" w:cs="Helvetica"/>
          <w:kern w:val="0"/>
          <w:sz w:val="28"/>
          <w:szCs w:val="28"/>
        </w:rPr>
      </w:pPr>
      <w:r>
        <w:rPr>
          <w:rFonts w:ascii="Helvetica" w:eastAsiaTheme="minorEastAsia" w:hAnsi="Helvetica" w:cs="Helvetica"/>
          <w:kern w:val="0"/>
          <w:sz w:val="28"/>
          <w:szCs w:val="28"/>
        </w:rPr>
        <w:t>But some mental health providers continue to subject young LGBT people to these practices—also known as “reparative therapy,” “ex-gay therapy,” or “sexual orientation change efforts”—even though they have been condemned by every major medical and mental health organization in the country.</w:t>
      </w:r>
    </w:p>
    <w:p w:rsidR="00226547" w:rsidRDefault="00226547" w:rsidP="00226547">
      <w:pPr>
        <w:widowControl w:val="0"/>
        <w:autoSpaceDE w:val="0"/>
        <w:autoSpaceDN w:val="0"/>
        <w:adjustRightInd w:val="0"/>
        <w:rPr>
          <w:rFonts w:ascii="Helvetica" w:eastAsiaTheme="minorEastAsia" w:hAnsi="Helvetica" w:cs="Helvetica"/>
          <w:kern w:val="0"/>
          <w:sz w:val="28"/>
          <w:szCs w:val="28"/>
        </w:rPr>
      </w:pPr>
      <w:r>
        <w:rPr>
          <w:rFonts w:ascii="Helvetica" w:eastAsiaTheme="minorEastAsia" w:hAnsi="Helvetica" w:cs="Helvetica"/>
          <w:kern w:val="0"/>
          <w:sz w:val="28"/>
          <w:szCs w:val="28"/>
        </w:rPr>
        <w:t xml:space="preserve">NCLR has been working to protect LGBT youth from these practices for more than 20 years, securing </w:t>
      </w:r>
      <w:proofErr w:type="gramStart"/>
      <w:r>
        <w:rPr>
          <w:rFonts w:ascii="Helvetica" w:eastAsiaTheme="minorEastAsia" w:hAnsi="Helvetica" w:cs="Helvetica"/>
          <w:kern w:val="0"/>
          <w:sz w:val="28"/>
          <w:szCs w:val="28"/>
        </w:rPr>
        <w:t>legislation protecting</w:t>
      </w:r>
      <w:proofErr w:type="gramEnd"/>
      <w:r>
        <w:rPr>
          <w:rFonts w:ascii="Helvetica" w:eastAsiaTheme="minorEastAsia" w:hAnsi="Helvetica" w:cs="Helvetica"/>
          <w:kern w:val="0"/>
          <w:sz w:val="28"/>
          <w:szCs w:val="28"/>
        </w:rPr>
        <w:t xml:space="preserve"> youth from these dangerous practices in California in 2012, New Jersey in 2013, Washington, D.C. in 2014, Oregon and Illinois in 2015, Vermont in 2016, and Connecticut, Nevada, New Mexico, and Rhode Island in 2017. Today, we are working with legislators and LGBT leaders in dozens of other states and helping bring similar protections to the rest of the country. We believe that every LGBT child is born perfect and that any young person’s identity as lesbian, gay, bisexual, or transgender should be honored, celebrated, and supported.</w:t>
      </w:r>
    </w:p>
    <w:p w:rsidR="00226547" w:rsidRDefault="00226547" w:rsidP="00226547">
      <w:pPr>
        <w:widowControl w:val="0"/>
        <w:autoSpaceDE w:val="0"/>
        <w:autoSpaceDN w:val="0"/>
        <w:adjustRightInd w:val="0"/>
        <w:rPr>
          <w:rFonts w:ascii="Helvetica" w:eastAsiaTheme="minorEastAsia" w:hAnsi="Helvetica" w:cs="Helvetica"/>
          <w:kern w:val="0"/>
          <w:sz w:val="28"/>
          <w:szCs w:val="28"/>
        </w:rPr>
      </w:pPr>
      <w:r>
        <w:rPr>
          <w:rFonts w:ascii="Helvetica" w:eastAsiaTheme="minorEastAsia" w:hAnsi="Helvetica" w:cs="Helvetica"/>
          <w:kern w:val="0"/>
          <w:sz w:val="28"/>
          <w:szCs w:val="28"/>
        </w:rPr>
        <w:t>We are committed to ending these dangerous and stigmatizing practices across the country once and for all—relegating them to the dustbin of history, and ensuring every child knows they were #</w:t>
      </w:r>
      <w:proofErr w:type="spellStart"/>
      <w:r>
        <w:rPr>
          <w:rFonts w:ascii="Helvetica" w:eastAsiaTheme="minorEastAsia" w:hAnsi="Helvetica" w:cs="Helvetica"/>
          <w:kern w:val="0"/>
          <w:sz w:val="28"/>
          <w:szCs w:val="28"/>
        </w:rPr>
        <w:t>BornPerfect</w:t>
      </w:r>
      <w:proofErr w:type="spellEnd"/>
      <w:r>
        <w:rPr>
          <w:rFonts w:ascii="Helvetica" w:eastAsiaTheme="minorEastAsia" w:hAnsi="Helvetica" w:cs="Helvetica"/>
          <w:kern w:val="0"/>
          <w:sz w:val="28"/>
          <w:szCs w:val="28"/>
        </w:rPr>
        <w:t>.</w:t>
      </w:r>
    </w:p>
    <w:p w:rsidR="00226547" w:rsidRDefault="00226547">
      <w:r>
        <w:br w:type="page"/>
      </w:r>
    </w:p>
    <w:p w:rsidR="00226547" w:rsidRPr="00226547" w:rsidRDefault="00226547" w:rsidP="00226547">
      <w:pPr>
        <w:spacing w:line="300" w:lineRule="atLeast"/>
        <w:textAlignment w:val="baseline"/>
        <w:rPr>
          <w:rFonts w:ascii="Helvetica" w:eastAsiaTheme="minorEastAsia" w:hAnsi="Helvetica"/>
          <w:color w:val="000000"/>
          <w:kern w:val="0"/>
          <w:sz w:val="18"/>
          <w:szCs w:val="18"/>
          <w:lang w:eastAsia="en-US"/>
        </w:rPr>
      </w:pPr>
      <w:r w:rsidRPr="00226547">
        <w:rPr>
          <w:rFonts w:ascii="inherit" w:eastAsiaTheme="minorEastAsia" w:hAnsi="inherit"/>
          <w:b/>
          <w:bCs/>
          <w:color w:val="993300"/>
          <w:kern w:val="0"/>
          <w:sz w:val="18"/>
          <w:szCs w:val="18"/>
          <w:bdr w:val="none" w:sz="0" w:space="0" w:color="auto" w:frame="1"/>
          <w:lang w:eastAsia="en-US"/>
        </w:rPr>
        <w:lastRenderedPageBreak/>
        <w:t>What Is Conversion Therapy?</w:t>
      </w:r>
    </w:p>
    <w:p w:rsidR="00226547" w:rsidRPr="00226547" w:rsidRDefault="00226547" w:rsidP="00226547">
      <w:pPr>
        <w:spacing w:after="375" w:line="300" w:lineRule="atLeast"/>
        <w:textAlignment w:val="baseline"/>
        <w:rPr>
          <w:rFonts w:ascii="Helvetica" w:eastAsiaTheme="minorEastAsia" w:hAnsi="Helvetica"/>
          <w:color w:val="000000"/>
          <w:kern w:val="0"/>
          <w:sz w:val="18"/>
          <w:szCs w:val="18"/>
          <w:lang w:eastAsia="en-US"/>
        </w:rPr>
      </w:pPr>
      <w:r w:rsidRPr="00226547">
        <w:rPr>
          <w:rFonts w:ascii="Helvetica" w:eastAsiaTheme="minorEastAsia" w:hAnsi="Helvetica"/>
          <w:color w:val="000000"/>
          <w:kern w:val="0"/>
          <w:sz w:val="18"/>
          <w:szCs w:val="18"/>
          <w:lang w:eastAsia="en-US"/>
        </w:rPr>
        <w:t>The practices used in conversion therapy are sometimes referred to as:</w:t>
      </w:r>
    </w:p>
    <w:p w:rsidR="00226547" w:rsidRPr="00226547" w:rsidRDefault="00226547" w:rsidP="00226547">
      <w:pPr>
        <w:numPr>
          <w:ilvl w:val="0"/>
          <w:numId w:val="2"/>
        </w:numPr>
        <w:spacing w:after="240"/>
        <w:ind w:left="300"/>
        <w:textAlignment w:val="baseline"/>
        <w:rPr>
          <w:rFonts w:ascii="inherit" w:hAnsi="inherit"/>
          <w:color w:val="000000"/>
          <w:kern w:val="0"/>
          <w:sz w:val="18"/>
          <w:szCs w:val="18"/>
          <w:lang w:eastAsia="en-US"/>
        </w:rPr>
      </w:pPr>
      <w:r w:rsidRPr="00226547">
        <w:rPr>
          <w:rFonts w:ascii="inherit" w:hAnsi="inherit"/>
          <w:color w:val="000000"/>
          <w:kern w:val="0"/>
          <w:sz w:val="18"/>
          <w:szCs w:val="18"/>
          <w:lang w:eastAsia="en-US"/>
        </w:rPr>
        <w:t>Reparative Therapy</w:t>
      </w:r>
    </w:p>
    <w:p w:rsidR="00226547" w:rsidRPr="00226547" w:rsidRDefault="00226547" w:rsidP="00226547">
      <w:pPr>
        <w:numPr>
          <w:ilvl w:val="0"/>
          <w:numId w:val="2"/>
        </w:numPr>
        <w:spacing w:after="240"/>
        <w:ind w:left="300"/>
        <w:textAlignment w:val="baseline"/>
        <w:rPr>
          <w:rFonts w:ascii="inherit" w:hAnsi="inherit"/>
          <w:color w:val="000000"/>
          <w:kern w:val="0"/>
          <w:sz w:val="18"/>
          <w:szCs w:val="18"/>
          <w:lang w:eastAsia="en-US"/>
        </w:rPr>
      </w:pPr>
      <w:r w:rsidRPr="00226547">
        <w:rPr>
          <w:rFonts w:ascii="inherit" w:hAnsi="inherit"/>
          <w:color w:val="000000"/>
          <w:kern w:val="0"/>
          <w:sz w:val="18"/>
          <w:szCs w:val="18"/>
          <w:lang w:eastAsia="en-US"/>
        </w:rPr>
        <w:t>Ex-Gay Therapy</w:t>
      </w:r>
    </w:p>
    <w:p w:rsidR="00226547" w:rsidRPr="00226547" w:rsidRDefault="00226547" w:rsidP="00226547">
      <w:pPr>
        <w:numPr>
          <w:ilvl w:val="0"/>
          <w:numId w:val="2"/>
        </w:numPr>
        <w:spacing w:after="240"/>
        <w:ind w:left="300"/>
        <w:textAlignment w:val="baseline"/>
        <w:rPr>
          <w:rFonts w:ascii="inherit" w:hAnsi="inherit"/>
          <w:color w:val="000000"/>
          <w:kern w:val="0"/>
          <w:sz w:val="18"/>
          <w:szCs w:val="18"/>
          <w:lang w:eastAsia="en-US"/>
        </w:rPr>
      </w:pPr>
      <w:r w:rsidRPr="00226547">
        <w:rPr>
          <w:rFonts w:ascii="inherit" w:hAnsi="inherit"/>
          <w:color w:val="000000"/>
          <w:kern w:val="0"/>
          <w:sz w:val="18"/>
          <w:szCs w:val="18"/>
          <w:lang w:eastAsia="en-US"/>
        </w:rPr>
        <w:t>Psychological Abuse</w:t>
      </w:r>
    </w:p>
    <w:p w:rsidR="00226547" w:rsidRPr="00226547" w:rsidRDefault="00226547" w:rsidP="00226547">
      <w:pPr>
        <w:numPr>
          <w:ilvl w:val="0"/>
          <w:numId w:val="2"/>
        </w:numPr>
        <w:ind w:left="300"/>
        <w:textAlignment w:val="baseline"/>
        <w:rPr>
          <w:rFonts w:ascii="inherit" w:hAnsi="inherit"/>
          <w:color w:val="000000"/>
          <w:kern w:val="0"/>
          <w:sz w:val="18"/>
          <w:szCs w:val="18"/>
          <w:lang w:eastAsia="en-US"/>
        </w:rPr>
      </w:pPr>
      <w:r w:rsidRPr="00226547">
        <w:rPr>
          <w:rFonts w:ascii="inherit" w:hAnsi="inherit"/>
          <w:color w:val="000000"/>
          <w:kern w:val="0"/>
          <w:sz w:val="18"/>
          <w:szCs w:val="18"/>
          <w:lang w:eastAsia="en-US"/>
        </w:rPr>
        <w:t>Sexual Orientation Change Efforts (SOCE) </w:t>
      </w:r>
      <w:r w:rsidRPr="00226547">
        <w:rPr>
          <w:rFonts w:ascii="inherit" w:hAnsi="inherit"/>
          <w:color w:val="993300"/>
          <w:kern w:val="0"/>
          <w:sz w:val="18"/>
          <w:szCs w:val="18"/>
          <w:bdr w:val="none" w:sz="0" w:space="0" w:color="auto" w:frame="1"/>
          <w:lang w:eastAsia="en-US"/>
        </w:rPr>
        <w:br/>
      </w:r>
    </w:p>
    <w:p w:rsidR="00226547" w:rsidRPr="00226547" w:rsidRDefault="00226547" w:rsidP="00226547">
      <w:pPr>
        <w:spacing w:line="300" w:lineRule="atLeast"/>
        <w:textAlignment w:val="baseline"/>
        <w:rPr>
          <w:rFonts w:ascii="Helvetica" w:eastAsiaTheme="minorEastAsia" w:hAnsi="Helvetica"/>
          <w:color w:val="000000"/>
          <w:kern w:val="0"/>
          <w:sz w:val="18"/>
          <w:szCs w:val="18"/>
          <w:lang w:eastAsia="en-US"/>
        </w:rPr>
      </w:pPr>
      <w:r w:rsidRPr="00226547">
        <w:rPr>
          <w:rFonts w:ascii="inherit" w:eastAsiaTheme="minorEastAsia" w:hAnsi="inherit"/>
          <w:b/>
          <w:bCs/>
          <w:color w:val="993300"/>
          <w:kern w:val="0"/>
          <w:sz w:val="18"/>
          <w:szCs w:val="18"/>
          <w:bdr w:val="none" w:sz="0" w:space="0" w:color="auto" w:frame="1"/>
          <w:lang w:eastAsia="en-US"/>
        </w:rPr>
        <w:t>What Are Some Examples of Conversion Therapy? </w:t>
      </w:r>
    </w:p>
    <w:p w:rsidR="00226547" w:rsidRPr="00226547" w:rsidRDefault="00226547" w:rsidP="00226547">
      <w:pPr>
        <w:spacing w:after="375" w:line="300" w:lineRule="atLeast"/>
        <w:textAlignment w:val="baseline"/>
        <w:rPr>
          <w:rFonts w:ascii="Helvetica" w:eastAsiaTheme="minorEastAsia" w:hAnsi="Helvetica"/>
          <w:color w:val="000000"/>
          <w:kern w:val="0"/>
          <w:sz w:val="18"/>
          <w:szCs w:val="18"/>
          <w:lang w:eastAsia="en-US"/>
        </w:rPr>
      </w:pPr>
      <w:r w:rsidRPr="00226547">
        <w:rPr>
          <w:rFonts w:ascii="Helvetica" w:eastAsiaTheme="minorEastAsia" w:hAnsi="Helvetica"/>
          <w:color w:val="000000"/>
          <w:kern w:val="0"/>
          <w:sz w:val="18"/>
          <w:szCs w:val="18"/>
          <w:lang w:eastAsia="en-US"/>
        </w:rPr>
        <w:t>In the past, some mental health professionals resorted to extreme measures such as institutionalization, castration, and electroconvulsive shock therapy to try to stop people from being lesbian, gay, bisexual, or transgender (LGBT). Today, while some counselors still use physical treatments like aversive conditioning, the techniques most commonly used include a variety of behavioral, cognitive, psychoanalytic, and other practices that try to change or reduce same-sex attraction or alter a person’s gender identity. While these contemporary versions of conversion therapy are less shocking and extreme than some of those more frequently used in the past, they are equally devoid of scientific validity and pose serious dangers to patients—especially to minors, who are often forced to undergo them by their parents or legal guardians, and who are at especially high risk of being harmed.</w:t>
      </w:r>
    </w:p>
    <w:p w:rsidR="00226547" w:rsidRPr="00226547" w:rsidRDefault="00226547" w:rsidP="00226547">
      <w:pPr>
        <w:spacing w:after="375" w:line="300" w:lineRule="atLeast"/>
        <w:textAlignment w:val="baseline"/>
        <w:rPr>
          <w:rFonts w:ascii="Helvetica" w:eastAsiaTheme="minorEastAsia" w:hAnsi="Helvetica"/>
          <w:color w:val="000000"/>
          <w:kern w:val="0"/>
          <w:sz w:val="18"/>
          <w:szCs w:val="18"/>
          <w:lang w:eastAsia="en-US"/>
        </w:rPr>
      </w:pPr>
      <w:r w:rsidRPr="00226547">
        <w:rPr>
          <w:rFonts w:ascii="Helvetica" w:eastAsiaTheme="minorEastAsia" w:hAnsi="Helvetica"/>
          <w:color w:val="000000"/>
          <w:kern w:val="0"/>
          <w:sz w:val="18"/>
          <w:szCs w:val="18"/>
          <w:lang w:eastAsia="en-US"/>
        </w:rPr>
        <w:t>According to a 2009 report of the American Psychological Association, the techniques therapists have used to try to change sexual orientation and gender identity include inducing nausea, vomiting, or paralysis while showing the patient homoerotic images; providing electric shocks; having the individual snap an elastic band around the wrist when aroused by same-sex erotic images or thoughts; using shame to create aversion to same-sex attractions; orgasmic reconditioning; and satiation therapy. Other techniques include trying to make patients’ behavior more stereotypically feminine or masculine, teaching heterosexual dating skills, using hypnosis to try to redirect desires and arousal, and other techniques—all based on the scientifically discredited premise that being LGBT is a defect or disorder.</w:t>
      </w:r>
    </w:p>
    <w:p w:rsidR="00226547" w:rsidRPr="00226547" w:rsidRDefault="00226547" w:rsidP="00226547">
      <w:pPr>
        <w:spacing w:after="375" w:line="300" w:lineRule="atLeast"/>
        <w:textAlignment w:val="baseline"/>
        <w:rPr>
          <w:rFonts w:ascii="Helvetica" w:eastAsiaTheme="minorEastAsia" w:hAnsi="Helvetica"/>
          <w:color w:val="000000"/>
          <w:kern w:val="0"/>
          <w:sz w:val="18"/>
          <w:szCs w:val="18"/>
          <w:lang w:eastAsia="en-US"/>
        </w:rPr>
      </w:pPr>
      <w:r w:rsidRPr="00226547">
        <w:rPr>
          <w:rFonts w:ascii="Helvetica" w:eastAsiaTheme="minorEastAsia" w:hAnsi="Helvetica"/>
          <w:color w:val="000000"/>
          <w:kern w:val="0"/>
          <w:sz w:val="18"/>
          <w:szCs w:val="18"/>
          <w:lang w:eastAsia="en-US"/>
        </w:rPr>
        <w:t>The current practice guidelines for the National Association for Research &amp; Therapy of Homosexuality (NARTH), which is a group of therapists who endorse and practice conversion therapy in the United States, encourage its members to consider techniques that include hypnosis, behavior and cognitive therapies, sex therapies, and psychotropic medication, among others.</w:t>
      </w:r>
    </w:p>
    <w:p w:rsidR="00226547" w:rsidRPr="00226547" w:rsidRDefault="00226547" w:rsidP="00226547">
      <w:pPr>
        <w:spacing w:line="300" w:lineRule="atLeast"/>
        <w:jc w:val="center"/>
        <w:textAlignment w:val="baseline"/>
        <w:rPr>
          <w:rFonts w:ascii="Helvetica" w:eastAsiaTheme="minorEastAsia" w:hAnsi="Helvetica"/>
          <w:color w:val="000000"/>
          <w:kern w:val="0"/>
          <w:sz w:val="18"/>
          <w:szCs w:val="18"/>
          <w:lang w:eastAsia="en-US"/>
        </w:rPr>
      </w:pPr>
      <w:hyperlink r:id="rId10" w:history="1">
        <w:r w:rsidRPr="00226547">
          <w:rPr>
            <w:rFonts w:ascii="inherit" w:eastAsiaTheme="minorEastAsia" w:hAnsi="inherit"/>
            <w:b/>
            <w:bCs/>
            <w:color w:val="0092B9"/>
            <w:kern w:val="0"/>
            <w:sz w:val="18"/>
            <w:szCs w:val="18"/>
            <w:bdr w:val="none" w:sz="0" w:space="0" w:color="auto" w:frame="1"/>
            <w:lang w:eastAsia="en-US"/>
          </w:rPr>
          <w:t>Click here to read firsthand accounts of the harms caused by conversion therapy.</w:t>
        </w:r>
      </w:hyperlink>
    </w:p>
    <w:p w:rsidR="00226547" w:rsidRPr="00226547" w:rsidRDefault="00226547" w:rsidP="00226547">
      <w:pPr>
        <w:spacing w:line="300" w:lineRule="atLeast"/>
        <w:textAlignment w:val="baseline"/>
        <w:rPr>
          <w:rFonts w:ascii="Helvetica" w:eastAsiaTheme="minorEastAsia" w:hAnsi="Helvetica"/>
          <w:color w:val="000000"/>
          <w:kern w:val="0"/>
          <w:sz w:val="18"/>
          <w:szCs w:val="18"/>
          <w:lang w:eastAsia="en-US"/>
        </w:rPr>
      </w:pPr>
      <w:r w:rsidRPr="00226547">
        <w:rPr>
          <w:rFonts w:ascii="inherit" w:eastAsiaTheme="minorEastAsia" w:hAnsi="inherit"/>
          <w:b/>
          <w:bCs/>
          <w:color w:val="993300"/>
          <w:kern w:val="0"/>
          <w:sz w:val="18"/>
          <w:szCs w:val="18"/>
          <w:bdr w:val="none" w:sz="0" w:space="0" w:color="auto" w:frame="1"/>
          <w:lang w:eastAsia="en-US"/>
        </w:rPr>
        <w:t>What Do Mainstream Mental Health Professionals Say About Conversion Therapy? </w:t>
      </w:r>
    </w:p>
    <w:p w:rsidR="00226547" w:rsidRPr="00226547" w:rsidRDefault="00226547" w:rsidP="00226547">
      <w:pPr>
        <w:spacing w:after="375" w:line="300" w:lineRule="atLeast"/>
        <w:textAlignment w:val="baseline"/>
        <w:rPr>
          <w:rFonts w:ascii="Helvetica" w:eastAsiaTheme="minorEastAsia" w:hAnsi="Helvetica"/>
          <w:color w:val="000000"/>
          <w:kern w:val="0"/>
          <w:sz w:val="18"/>
          <w:szCs w:val="18"/>
          <w:lang w:eastAsia="en-US"/>
        </w:rPr>
      </w:pPr>
      <w:r w:rsidRPr="00226547">
        <w:rPr>
          <w:rFonts w:ascii="Helvetica" w:eastAsiaTheme="minorEastAsia" w:hAnsi="Helvetica"/>
          <w:color w:val="000000"/>
          <w:kern w:val="0"/>
          <w:sz w:val="18"/>
          <w:szCs w:val="18"/>
          <w:lang w:eastAsia="en-US"/>
        </w:rPr>
        <w:t xml:space="preserve">All of the nation’s leading professional medical and mental health associations </w:t>
      </w:r>
      <w:proofErr w:type="gramStart"/>
      <w:r w:rsidRPr="00226547">
        <w:rPr>
          <w:rFonts w:ascii="Helvetica" w:eastAsiaTheme="minorEastAsia" w:hAnsi="Helvetica"/>
          <w:color w:val="000000"/>
          <w:kern w:val="0"/>
          <w:sz w:val="18"/>
          <w:szCs w:val="18"/>
          <w:lang w:eastAsia="en-US"/>
        </w:rPr>
        <w:t>have</w:t>
      </w:r>
      <w:proofErr w:type="gramEnd"/>
      <w:r w:rsidRPr="00226547">
        <w:rPr>
          <w:rFonts w:ascii="Helvetica" w:eastAsiaTheme="minorEastAsia" w:hAnsi="Helvetica"/>
          <w:color w:val="000000"/>
          <w:kern w:val="0"/>
          <w:sz w:val="18"/>
          <w:szCs w:val="18"/>
          <w:lang w:eastAsia="en-US"/>
        </w:rPr>
        <w:t xml:space="preserve"> rejected conversion therapy as unnecessary, ineffective, and dangerous. These groups have cautioned that the practices do not work and have warned patients that they may be harmful. For example, the American Psychological Association “advises parents, guardians, young people, and their families to avoid sexual orientation change efforts that portray homosexuality as a mental illness or developmental disorder and to seek psychotherapy, </w:t>
      </w:r>
      <w:r w:rsidRPr="00226547">
        <w:rPr>
          <w:rFonts w:ascii="Helvetica" w:eastAsiaTheme="minorEastAsia" w:hAnsi="Helvetica"/>
          <w:color w:val="000000"/>
          <w:kern w:val="0"/>
          <w:sz w:val="18"/>
          <w:szCs w:val="18"/>
          <w:lang w:eastAsia="en-US"/>
        </w:rPr>
        <w:lastRenderedPageBreak/>
        <w:t>social support, and educational services that provide accurate information on sexual orientation and sexuality, increase family and school support, and reduce rejection of sexual minority youth.”</w:t>
      </w:r>
    </w:p>
    <w:p w:rsidR="00226547" w:rsidRPr="00226547" w:rsidRDefault="00226547" w:rsidP="00226547">
      <w:pPr>
        <w:spacing w:after="375" w:line="300" w:lineRule="atLeast"/>
        <w:textAlignment w:val="baseline"/>
        <w:rPr>
          <w:rFonts w:ascii="Helvetica" w:eastAsiaTheme="minorEastAsia" w:hAnsi="Helvetica"/>
          <w:color w:val="000000"/>
          <w:kern w:val="0"/>
          <w:sz w:val="18"/>
          <w:szCs w:val="18"/>
          <w:lang w:eastAsia="en-US"/>
        </w:rPr>
      </w:pPr>
      <w:r w:rsidRPr="00226547">
        <w:rPr>
          <w:rFonts w:ascii="Helvetica" w:eastAsiaTheme="minorEastAsia" w:hAnsi="Helvetica"/>
          <w:color w:val="000000"/>
          <w:kern w:val="0"/>
          <w:sz w:val="18"/>
          <w:szCs w:val="18"/>
          <w:lang w:eastAsia="en-US"/>
        </w:rPr>
        <w:t>The American Psychiatric Association “opposes any psychiatric treatment such as reparative or conversion therapy which is based upon the assumption that homosexuality per se is a mental disorder or based upon the a priori assumption that a patient should change his/her sexual homosexual orientation.”</w:t>
      </w:r>
    </w:p>
    <w:p w:rsidR="00226547" w:rsidRPr="00226547" w:rsidRDefault="00226547" w:rsidP="00226547">
      <w:pPr>
        <w:spacing w:after="375" w:line="300" w:lineRule="atLeast"/>
        <w:textAlignment w:val="baseline"/>
        <w:rPr>
          <w:rFonts w:ascii="Helvetica" w:eastAsiaTheme="minorEastAsia" w:hAnsi="Helvetica"/>
          <w:color w:val="000000"/>
          <w:kern w:val="0"/>
          <w:sz w:val="18"/>
          <w:szCs w:val="18"/>
          <w:lang w:eastAsia="en-US"/>
        </w:rPr>
      </w:pPr>
      <w:r w:rsidRPr="00226547">
        <w:rPr>
          <w:rFonts w:ascii="Helvetica" w:eastAsiaTheme="minorEastAsia" w:hAnsi="Helvetica"/>
          <w:color w:val="000000"/>
          <w:kern w:val="0"/>
          <w:sz w:val="18"/>
          <w:szCs w:val="18"/>
          <w:lang w:eastAsia="en-US"/>
        </w:rPr>
        <w:t>The American Academy of Pediatrics has stated: “Therapy directed at specifically changing sexual orientation is contraindicated, since it can provoke guilt and anxiety while having little or no potential for achieving changes in orientation.”</w:t>
      </w:r>
    </w:p>
    <w:p w:rsidR="00226547" w:rsidRPr="00226547" w:rsidRDefault="00226547" w:rsidP="00226547">
      <w:pPr>
        <w:spacing w:after="375" w:line="300" w:lineRule="atLeast"/>
        <w:textAlignment w:val="baseline"/>
        <w:rPr>
          <w:rFonts w:ascii="Helvetica" w:eastAsiaTheme="minorEastAsia" w:hAnsi="Helvetica"/>
          <w:color w:val="000000"/>
          <w:kern w:val="0"/>
          <w:sz w:val="18"/>
          <w:szCs w:val="18"/>
          <w:lang w:eastAsia="en-US"/>
        </w:rPr>
      </w:pPr>
      <w:r w:rsidRPr="00226547">
        <w:rPr>
          <w:rFonts w:ascii="Helvetica" w:eastAsiaTheme="minorEastAsia" w:hAnsi="Helvetica"/>
          <w:color w:val="000000"/>
          <w:kern w:val="0"/>
          <w:sz w:val="18"/>
          <w:szCs w:val="18"/>
          <w:lang w:eastAsia="en-US"/>
        </w:rPr>
        <w:t>The Pan American Health Organization, a regional office of the World Health Organization, has stated that these practices “lack medical justification and represent a serious threat to the health and well-being of affected people.”</w:t>
      </w:r>
    </w:p>
    <w:p w:rsidR="00226547" w:rsidRPr="00226547" w:rsidRDefault="00226547" w:rsidP="00226547">
      <w:pPr>
        <w:spacing w:line="300" w:lineRule="atLeast"/>
        <w:jc w:val="center"/>
        <w:textAlignment w:val="baseline"/>
        <w:rPr>
          <w:rFonts w:ascii="Helvetica" w:eastAsiaTheme="minorEastAsia" w:hAnsi="Helvetica"/>
          <w:color w:val="000000"/>
          <w:kern w:val="0"/>
          <w:sz w:val="18"/>
          <w:szCs w:val="18"/>
          <w:lang w:eastAsia="en-US"/>
        </w:rPr>
      </w:pPr>
      <w:hyperlink r:id="rId11" w:history="1">
        <w:r w:rsidRPr="00226547">
          <w:rPr>
            <w:rFonts w:ascii="inherit" w:eastAsiaTheme="minorEastAsia" w:hAnsi="inherit"/>
            <w:b/>
            <w:bCs/>
            <w:color w:val="0092B9"/>
            <w:kern w:val="0"/>
            <w:sz w:val="18"/>
            <w:szCs w:val="18"/>
            <w:bdr w:val="none" w:sz="0" w:space="0" w:color="auto" w:frame="1"/>
            <w:lang w:eastAsia="en-US"/>
          </w:rPr>
          <w:t>Click here to read more official statements condemning conversion therapy.</w:t>
        </w:r>
      </w:hyperlink>
    </w:p>
    <w:p w:rsidR="00226547" w:rsidRPr="00226547" w:rsidRDefault="00226547" w:rsidP="00226547">
      <w:pPr>
        <w:spacing w:line="300" w:lineRule="atLeast"/>
        <w:textAlignment w:val="baseline"/>
        <w:rPr>
          <w:rFonts w:ascii="Helvetica" w:eastAsiaTheme="minorEastAsia" w:hAnsi="Helvetica"/>
          <w:color w:val="000000"/>
          <w:kern w:val="0"/>
          <w:sz w:val="18"/>
          <w:szCs w:val="18"/>
          <w:lang w:eastAsia="en-US"/>
        </w:rPr>
      </w:pPr>
      <w:r w:rsidRPr="00226547">
        <w:rPr>
          <w:rFonts w:ascii="inherit" w:eastAsiaTheme="minorEastAsia" w:hAnsi="inherit"/>
          <w:b/>
          <w:bCs/>
          <w:color w:val="993300"/>
          <w:kern w:val="0"/>
          <w:sz w:val="18"/>
          <w:szCs w:val="18"/>
          <w:bdr w:val="none" w:sz="0" w:space="0" w:color="auto" w:frame="1"/>
          <w:lang w:eastAsia="en-US"/>
        </w:rPr>
        <w:t>Can Any Type of Therapy Change a Person’s Sexual Orientation or Gender Identity? </w:t>
      </w:r>
    </w:p>
    <w:p w:rsidR="00226547" w:rsidRPr="00226547" w:rsidRDefault="00226547" w:rsidP="00226547">
      <w:pPr>
        <w:spacing w:after="375" w:line="300" w:lineRule="atLeast"/>
        <w:textAlignment w:val="baseline"/>
        <w:rPr>
          <w:rFonts w:ascii="Helvetica" w:eastAsiaTheme="minorEastAsia" w:hAnsi="Helvetica"/>
          <w:color w:val="000000"/>
          <w:kern w:val="0"/>
          <w:sz w:val="18"/>
          <w:szCs w:val="18"/>
          <w:lang w:eastAsia="en-US"/>
        </w:rPr>
      </w:pPr>
      <w:r w:rsidRPr="00226547">
        <w:rPr>
          <w:rFonts w:ascii="Helvetica" w:eastAsiaTheme="minorEastAsia" w:hAnsi="Helvetica"/>
          <w:color w:val="000000"/>
          <w:kern w:val="0"/>
          <w:sz w:val="18"/>
          <w:szCs w:val="18"/>
          <w:lang w:eastAsia="en-US"/>
        </w:rPr>
        <w:t xml:space="preserve">No. In 2009, the American Psychological Association conducted a comprehensive review of the published literature on these practices and concluded that </w:t>
      </w:r>
      <w:proofErr w:type="gramStart"/>
      <w:r w:rsidRPr="00226547">
        <w:rPr>
          <w:rFonts w:ascii="Helvetica" w:eastAsiaTheme="minorEastAsia" w:hAnsi="Helvetica"/>
          <w:color w:val="000000"/>
          <w:kern w:val="0"/>
          <w:sz w:val="18"/>
          <w:szCs w:val="18"/>
          <w:lang w:eastAsia="en-US"/>
        </w:rPr>
        <w:t>they are not supported by any reliable evidence</w:t>
      </w:r>
      <w:proofErr w:type="gramEnd"/>
      <w:r w:rsidRPr="00226547">
        <w:rPr>
          <w:rFonts w:ascii="Helvetica" w:eastAsiaTheme="minorEastAsia" w:hAnsi="Helvetica"/>
          <w:color w:val="000000"/>
          <w:kern w:val="0"/>
          <w:sz w:val="18"/>
          <w:szCs w:val="18"/>
          <w:lang w:eastAsia="en-US"/>
        </w:rPr>
        <w:t>. In fact, the APA found that the opposite was true: “The results of scientifically valid research indicate that it is unlikely that individuals will be able to reduce same-sex sexual attractions or increase other-sex attractions through SOCE.”</w:t>
      </w:r>
    </w:p>
    <w:p w:rsidR="00226547" w:rsidRPr="00226547" w:rsidRDefault="00226547" w:rsidP="00226547">
      <w:pPr>
        <w:spacing w:after="375" w:line="300" w:lineRule="atLeast"/>
        <w:textAlignment w:val="baseline"/>
        <w:rPr>
          <w:rFonts w:ascii="Helvetica" w:eastAsiaTheme="minorEastAsia" w:hAnsi="Helvetica"/>
          <w:color w:val="000000"/>
          <w:kern w:val="0"/>
          <w:sz w:val="18"/>
          <w:szCs w:val="18"/>
          <w:lang w:eastAsia="en-US"/>
        </w:rPr>
      </w:pPr>
      <w:r w:rsidRPr="00226547">
        <w:rPr>
          <w:rFonts w:ascii="Helvetica" w:eastAsiaTheme="minorEastAsia" w:hAnsi="Helvetica"/>
          <w:color w:val="000000"/>
          <w:kern w:val="0"/>
          <w:sz w:val="18"/>
          <w:szCs w:val="18"/>
          <w:lang w:eastAsia="en-US"/>
        </w:rPr>
        <w:t>Similarly, in 2000, the American Psychiatric Association published a statement concluding that: “In the last four decades, ‘reparative’ therapists have not produced any rigorous scientific research to substantiate their claims of cure.”</w:t>
      </w:r>
    </w:p>
    <w:p w:rsidR="00226547" w:rsidRPr="00226547" w:rsidRDefault="00226547" w:rsidP="00226547">
      <w:pPr>
        <w:spacing w:line="300" w:lineRule="atLeast"/>
        <w:jc w:val="center"/>
        <w:textAlignment w:val="baseline"/>
        <w:rPr>
          <w:rFonts w:ascii="Helvetica" w:eastAsiaTheme="minorEastAsia" w:hAnsi="Helvetica"/>
          <w:color w:val="000000"/>
          <w:kern w:val="0"/>
          <w:sz w:val="18"/>
          <w:szCs w:val="18"/>
          <w:lang w:eastAsia="en-US"/>
        </w:rPr>
      </w:pPr>
      <w:hyperlink r:id="rId12" w:history="1">
        <w:r w:rsidRPr="00226547">
          <w:rPr>
            <w:rFonts w:ascii="inherit" w:eastAsiaTheme="minorEastAsia" w:hAnsi="inherit"/>
            <w:b/>
            <w:bCs/>
            <w:color w:val="0092B9"/>
            <w:kern w:val="0"/>
            <w:sz w:val="18"/>
            <w:szCs w:val="18"/>
            <w:bdr w:val="none" w:sz="0" w:space="0" w:color="auto" w:frame="1"/>
            <w:lang w:eastAsia="en-US"/>
          </w:rPr>
          <w:t>Click here to read research that conversion therapy is ineffective and harmful.</w:t>
        </w:r>
      </w:hyperlink>
    </w:p>
    <w:p w:rsidR="00226547" w:rsidRPr="00226547" w:rsidRDefault="00226547" w:rsidP="00226547">
      <w:pPr>
        <w:spacing w:line="300" w:lineRule="atLeast"/>
        <w:textAlignment w:val="baseline"/>
        <w:rPr>
          <w:rFonts w:ascii="Helvetica" w:eastAsiaTheme="minorEastAsia" w:hAnsi="Helvetica"/>
          <w:color w:val="000000"/>
          <w:kern w:val="0"/>
          <w:sz w:val="18"/>
          <w:szCs w:val="18"/>
          <w:lang w:eastAsia="en-US"/>
        </w:rPr>
      </w:pPr>
      <w:r w:rsidRPr="00226547">
        <w:rPr>
          <w:rFonts w:ascii="inherit" w:eastAsiaTheme="minorEastAsia" w:hAnsi="inherit"/>
          <w:b/>
          <w:bCs/>
          <w:color w:val="993300"/>
          <w:kern w:val="0"/>
          <w:sz w:val="18"/>
          <w:szCs w:val="18"/>
          <w:bdr w:val="none" w:sz="0" w:space="0" w:color="auto" w:frame="1"/>
          <w:lang w:eastAsia="en-US"/>
        </w:rPr>
        <w:t xml:space="preserve">How </w:t>
      </w:r>
      <w:proofErr w:type="gramStart"/>
      <w:r w:rsidRPr="00226547">
        <w:rPr>
          <w:rFonts w:ascii="inherit" w:eastAsiaTheme="minorEastAsia" w:hAnsi="inherit"/>
          <w:b/>
          <w:bCs/>
          <w:color w:val="993300"/>
          <w:kern w:val="0"/>
          <w:sz w:val="18"/>
          <w:szCs w:val="18"/>
          <w:bdr w:val="none" w:sz="0" w:space="0" w:color="auto" w:frame="1"/>
          <w:lang w:eastAsia="en-US"/>
        </w:rPr>
        <w:t>Bad</w:t>
      </w:r>
      <w:proofErr w:type="gramEnd"/>
      <w:r w:rsidRPr="00226547">
        <w:rPr>
          <w:rFonts w:ascii="inherit" w:eastAsiaTheme="minorEastAsia" w:hAnsi="inherit"/>
          <w:b/>
          <w:bCs/>
          <w:color w:val="993300"/>
          <w:kern w:val="0"/>
          <w:sz w:val="18"/>
          <w:szCs w:val="18"/>
          <w:bdr w:val="none" w:sz="0" w:space="0" w:color="auto" w:frame="1"/>
          <w:lang w:eastAsia="en-US"/>
        </w:rPr>
        <w:t xml:space="preserve"> is Conversion Therapy? </w:t>
      </w:r>
    </w:p>
    <w:p w:rsidR="00226547" w:rsidRPr="00226547" w:rsidRDefault="00226547" w:rsidP="00226547">
      <w:pPr>
        <w:spacing w:after="375" w:line="300" w:lineRule="atLeast"/>
        <w:textAlignment w:val="baseline"/>
        <w:rPr>
          <w:rFonts w:ascii="Helvetica" w:eastAsiaTheme="minorEastAsia" w:hAnsi="Helvetica"/>
          <w:color w:val="000000"/>
          <w:kern w:val="0"/>
          <w:sz w:val="18"/>
          <w:szCs w:val="18"/>
          <w:lang w:eastAsia="en-US"/>
        </w:rPr>
      </w:pPr>
      <w:r w:rsidRPr="00226547">
        <w:rPr>
          <w:rFonts w:ascii="Helvetica" w:eastAsiaTheme="minorEastAsia" w:hAnsi="Helvetica"/>
          <w:color w:val="000000"/>
          <w:kern w:val="0"/>
          <w:sz w:val="18"/>
          <w:szCs w:val="18"/>
          <w:lang w:eastAsia="en-US"/>
        </w:rPr>
        <w:t xml:space="preserve">Conversion therapy can be extremely dangerous and, in some cases, fatal. In 2009, the APA issued a report concluding that the reported risks of the practices include: depression, guilt, helplessness, hopelessness, shame, social withdrawal, </w:t>
      </w:r>
      <w:proofErr w:type="spellStart"/>
      <w:r w:rsidRPr="00226547">
        <w:rPr>
          <w:rFonts w:ascii="Helvetica" w:eastAsiaTheme="minorEastAsia" w:hAnsi="Helvetica"/>
          <w:color w:val="000000"/>
          <w:kern w:val="0"/>
          <w:sz w:val="18"/>
          <w:szCs w:val="18"/>
          <w:lang w:eastAsia="en-US"/>
        </w:rPr>
        <w:t>suicidality</w:t>
      </w:r>
      <w:proofErr w:type="spellEnd"/>
      <w:r w:rsidRPr="00226547">
        <w:rPr>
          <w:rFonts w:ascii="Helvetica" w:eastAsiaTheme="minorEastAsia" w:hAnsi="Helvetica"/>
          <w:color w:val="000000"/>
          <w:kern w:val="0"/>
          <w:sz w:val="18"/>
          <w:szCs w:val="18"/>
          <w:lang w:eastAsia="en-US"/>
        </w:rPr>
        <w:t>, substance abuse, stress, disappointment, self-blame, decreased self-esteem and authenticity to others, increased self-hatred, hostility and blame toward parents, feelings of anger and betrayal, loss of friends and potential romantic partners, problems in sexual and emotional intimacy, sexual dysfunction, high-risk sexual behaviors, a feeling of being dehumanized and untrue to self, a loss of faith, and a sense of having wasted time and resources.</w:t>
      </w:r>
    </w:p>
    <w:p w:rsidR="00226547" w:rsidRPr="00226547" w:rsidRDefault="00226547" w:rsidP="00226547">
      <w:pPr>
        <w:spacing w:after="375" w:line="300" w:lineRule="atLeast"/>
        <w:textAlignment w:val="baseline"/>
        <w:rPr>
          <w:rFonts w:ascii="Helvetica" w:eastAsiaTheme="minorEastAsia" w:hAnsi="Helvetica"/>
          <w:color w:val="000000"/>
          <w:kern w:val="0"/>
          <w:sz w:val="18"/>
          <w:szCs w:val="18"/>
          <w:lang w:eastAsia="en-US"/>
        </w:rPr>
      </w:pPr>
      <w:r w:rsidRPr="00226547">
        <w:rPr>
          <w:rFonts w:ascii="Helvetica" w:eastAsiaTheme="minorEastAsia" w:hAnsi="Helvetica"/>
          <w:color w:val="000000"/>
          <w:kern w:val="0"/>
          <w:sz w:val="18"/>
          <w:szCs w:val="18"/>
          <w:lang w:eastAsia="en-US"/>
        </w:rPr>
        <w:t xml:space="preserve">The risks are even greater for youth.  Minors who experience family rejection based on their sexual orientation or gender identity face especially serious health risks. Research shows that lesbian, gay, and bisexual young adults who reported higher levels of family rejection during adolescence were more than eight times more likely to report having attempted suicide, more than five times more likely to report high </w:t>
      </w:r>
      <w:r w:rsidRPr="00226547">
        <w:rPr>
          <w:rFonts w:ascii="Helvetica" w:eastAsiaTheme="minorEastAsia" w:hAnsi="Helvetica"/>
          <w:color w:val="000000"/>
          <w:kern w:val="0"/>
          <w:sz w:val="18"/>
          <w:szCs w:val="18"/>
          <w:lang w:eastAsia="en-US"/>
        </w:rPr>
        <w:lastRenderedPageBreak/>
        <w:t>levels of depression, more than three times more likely to use illegal drugs, and more than three times more likely to report having engaged in unprotected sexual intercourse compared with peers from families that reported no or low levels of family rejection.</w:t>
      </w:r>
    </w:p>
    <w:p w:rsidR="00226547" w:rsidRPr="00226547" w:rsidRDefault="00226547" w:rsidP="00226547">
      <w:pPr>
        <w:spacing w:after="375" w:line="300" w:lineRule="atLeast"/>
        <w:textAlignment w:val="baseline"/>
        <w:rPr>
          <w:rFonts w:ascii="Helvetica" w:eastAsiaTheme="minorEastAsia" w:hAnsi="Helvetica"/>
          <w:color w:val="000000"/>
          <w:kern w:val="0"/>
          <w:sz w:val="18"/>
          <w:szCs w:val="18"/>
          <w:lang w:eastAsia="en-US"/>
        </w:rPr>
      </w:pPr>
      <w:r w:rsidRPr="00226547">
        <w:rPr>
          <w:rFonts w:ascii="Helvetica" w:eastAsiaTheme="minorEastAsia" w:hAnsi="Helvetica"/>
          <w:color w:val="000000"/>
          <w:kern w:val="0"/>
          <w:sz w:val="18"/>
          <w:szCs w:val="18"/>
          <w:lang w:eastAsia="en-US"/>
        </w:rPr>
        <w:t xml:space="preserve">In one highly publicized case from the early 1970s, psychologist George </w:t>
      </w:r>
      <w:proofErr w:type="spellStart"/>
      <w:r w:rsidRPr="00226547">
        <w:rPr>
          <w:rFonts w:ascii="Helvetica" w:eastAsiaTheme="minorEastAsia" w:hAnsi="Helvetica"/>
          <w:color w:val="000000"/>
          <w:kern w:val="0"/>
          <w:sz w:val="18"/>
          <w:szCs w:val="18"/>
          <w:lang w:eastAsia="en-US"/>
        </w:rPr>
        <w:t>Rekers</w:t>
      </w:r>
      <w:proofErr w:type="spellEnd"/>
      <w:r w:rsidRPr="00226547">
        <w:rPr>
          <w:rFonts w:ascii="Helvetica" w:eastAsiaTheme="minorEastAsia" w:hAnsi="Helvetica"/>
          <w:color w:val="000000"/>
          <w:kern w:val="0"/>
          <w:sz w:val="18"/>
          <w:szCs w:val="18"/>
          <w:lang w:eastAsia="en-US"/>
        </w:rPr>
        <w:t xml:space="preserve"> treated a five-year-old boy named Kirk Murphy, who had exhibited stereotypically feminine behavior such as a preference for girls’ toys. </w:t>
      </w:r>
      <w:proofErr w:type="spellStart"/>
      <w:r w:rsidRPr="00226547">
        <w:rPr>
          <w:rFonts w:ascii="Helvetica" w:eastAsiaTheme="minorEastAsia" w:hAnsi="Helvetica"/>
          <w:color w:val="000000"/>
          <w:kern w:val="0"/>
          <w:sz w:val="18"/>
          <w:szCs w:val="18"/>
          <w:lang w:eastAsia="en-US"/>
        </w:rPr>
        <w:t>Rekers</w:t>
      </w:r>
      <w:proofErr w:type="spellEnd"/>
      <w:r w:rsidRPr="00226547">
        <w:rPr>
          <w:rFonts w:ascii="Helvetica" w:eastAsiaTheme="minorEastAsia" w:hAnsi="Helvetica"/>
          <w:color w:val="000000"/>
          <w:kern w:val="0"/>
          <w:sz w:val="18"/>
          <w:szCs w:val="18"/>
          <w:lang w:eastAsia="en-US"/>
        </w:rPr>
        <w:t xml:space="preserve"> instructed Murphy’s parents to reward him for exhibiting “masculine” behavior and to punish him (by ignoring or even spanking him) when he displayed “feminine” behavior. </w:t>
      </w:r>
      <w:proofErr w:type="spellStart"/>
      <w:r w:rsidRPr="00226547">
        <w:rPr>
          <w:rFonts w:ascii="Helvetica" w:eastAsiaTheme="minorEastAsia" w:hAnsi="Helvetica"/>
          <w:color w:val="000000"/>
          <w:kern w:val="0"/>
          <w:sz w:val="18"/>
          <w:szCs w:val="18"/>
          <w:lang w:eastAsia="en-US"/>
        </w:rPr>
        <w:t>Rekers</w:t>
      </w:r>
      <w:proofErr w:type="spellEnd"/>
      <w:r w:rsidRPr="00226547">
        <w:rPr>
          <w:rFonts w:ascii="Helvetica" w:eastAsiaTheme="minorEastAsia" w:hAnsi="Helvetica"/>
          <w:color w:val="000000"/>
          <w:kern w:val="0"/>
          <w:sz w:val="18"/>
          <w:szCs w:val="18"/>
          <w:lang w:eastAsia="en-US"/>
        </w:rPr>
        <w:t xml:space="preserve"> claimed this treatment would prevent the boy from becoming gay. Later, </w:t>
      </w:r>
      <w:proofErr w:type="spellStart"/>
      <w:r w:rsidRPr="00226547">
        <w:rPr>
          <w:rFonts w:ascii="Helvetica" w:eastAsiaTheme="minorEastAsia" w:hAnsi="Helvetica"/>
          <w:color w:val="000000"/>
          <w:kern w:val="0"/>
          <w:sz w:val="18"/>
          <w:szCs w:val="18"/>
          <w:lang w:eastAsia="en-US"/>
        </w:rPr>
        <w:t>Rekers</w:t>
      </w:r>
      <w:proofErr w:type="spellEnd"/>
      <w:r w:rsidRPr="00226547">
        <w:rPr>
          <w:rFonts w:ascii="Helvetica" w:eastAsiaTheme="minorEastAsia" w:hAnsi="Helvetica"/>
          <w:color w:val="000000"/>
          <w:kern w:val="0"/>
          <w:sz w:val="18"/>
          <w:szCs w:val="18"/>
          <w:lang w:eastAsia="en-US"/>
        </w:rPr>
        <w:t xml:space="preserve"> published an article citing his treatment of Murphy as a success story, which </w:t>
      </w:r>
      <w:proofErr w:type="spellStart"/>
      <w:r w:rsidRPr="00226547">
        <w:rPr>
          <w:rFonts w:ascii="Helvetica" w:eastAsiaTheme="minorEastAsia" w:hAnsi="Helvetica"/>
          <w:color w:val="000000"/>
          <w:kern w:val="0"/>
          <w:sz w:val="18"/>
          <w:szCs w:val="18"/>
          <w:lang w:eastAsia="en-US"/>
        </w:rPr>
        <w:t>Rekers</w:t>
      </w:r>
      <w:proofErr w:type="spellEnd"/>
      <w:r w:rsidRPr="00226547">
        <w:rPr>
          <w:rFonts w:ascii="Helvetica" w:eastAsiaTheme="minorEastAsia" w:hAnsi="Helvetica"/>
          <w:color w:val="000000"/>
          <w:kern w:val="0"/>
          <w:sz w:val="18"/>
          <w:szCs w:val="18"/>
          <w:lang w:eastAsia="en-US"/>
        </w:rPr>
        <w:t xml:space="preserve"> and other proponents of these practices continue to use to deceive other parents and entrap other clients struggling with the stigma and discrimination faced by LGBT people. In fact, however, Murphy was gay in adulthood, and struggled with the severe psychological distress caused by </w:t>
      </w:r>
      <w:proofErr w:type="spellStart"/>
      <w:r w:rsidRPr="00226547">
        <w:rPr>
          <w:rFonts w:ascii="Helvetica" w:eastAsiaTheme="minorEastAsia" w:hAnsi="Helvetica"/>
          <w:color w:val="000000"/>
          <w:kern w:val="0"/>
          <w:sz w:val="18"/>
          <w:szCs w:val="18"/>
          <w:lang w:eastAsia="en-US"/>
        </w:rPr>
        <w:t>Rekers’s</w:t>
      </w:r>
      <w:proofErr w:type="spellEnd"/>
      <w:r w:rsidRPr="00226547">
        <w:rPr>
          <w:rFonts w:ascii="Helvetica" w:eastAsiaTheme="minorEastAsia" w:hAnsi="Helvetica"/>
          <w:color w:val="000000"/>
          <w:kern w:val="0"/>
          <w:sz w:val="18"/>
          <w:szCs w:val="18"/>
          <w:lang w:eastAsia="en-US"/>
        </w:rPr>
        <w:t xml:space="preserve"> “treatments” throughout his life. Murphy attempted to take his own life when he was about 17, and died by suicide at the age of 38.</w:t>
      </w:r>
    </w:p>
    <w:p w:rsidR="00226547" w:rsidRPr="00226547" w:rsidRDefault="00226547" w:rsidP="00226547">
      <w:pPr>
        <w:spacing w:line="300" w:lineRule="atLeast"/>
        <w:jc w:val="center"/>
        <w:textAlignment w:val="baseline"/>
        <w:rPr>
          <w:rFonts w:ascii="Helvetica" w:eastAsiaTheme="minorEastAsia" w:hAnsi="Helvetica"/>
          <w:color w:val="000000"/>
          <w:kern w:val="0"/>
          <w:sz w:val="18"/>
          <w:szCs w:val="18"/>
          <w:lang w:eastAsia="en-US"/>
        </w:rPr>
      </w:pPr>
      <w:hyperlink r:id="rId13" w:history="1">
        <w:r w:rsidRPr="00226547">
          <w:rPr>
            <w:rFonts w:ascii="inherit" w:eastAsiaTheme="minorEastAsia" w:hAnsi="inherit"/>
            <w:b/>
            <w:bCs/>
            <w:color w:val="0092B9"/>
            <w:kern w:val="0"/>
            <w:sz w:val="18"/>
            <w:szCs w:val="18"/>
            <w:bdr w:val="none" w:sz="0" w:space="0" w:color="auto" w:frame="1"/>
            <w:lang w:eastAsia="en-US"/>
          </w:rPr>
          <w:t>Click here to read firsthand accounts of the harms caused by conversion therapy.</w:t>
        </w:r>
      </w:hyperlink>
    </w:p>
    <w:p w:rsidR="00226547" w:rsidRPr="00226547" w:rsidRDefault="00226547" w:rsidP="00226547">
      <w:pPr>
        <w:spacing w:line="300" w:lineRule="atLeast"/>
        <w:textAlignment w:val="baseline"/>
        <w:rPr>
          <w:rFonts w:ascii="Helvetica" w:eastAsiaTheme="minorEastAsia" w:hAnsi="Helvetica"/>
          <w:color w:val="000000"/>
          <w:kern w:val="0"/>
          <w:sz w:val="18"/>
          <w:szCs w:val="18"/>
          <w:lang w:eastAsia="en-US"/>
        </w:rPr>
      </w:pPr>
      <w:r w:rsidRPr="00226547">
        <w:rPr>
          <w:rFonts w:ascii="inherit" w:eastAsiaTheme="minorEastAsia" w:hAnsi="inherit"/>
          <w:b/>
          <w:bCs/>
          <w:color w:val="993300"/>
          <w:kern w:val="0"/>
          <w:sz w:val="18"/>
          <w:szCs w:val="18"/>
          <w:bdr w:val="none" w:sz="0" w:space="0" w:color="auto" w:frame="1"/>
          <w:lang w:eastAsia="en-US"/>
        </w:rPr>
        <w:t>Do Any States Protect Youth From Conversion Therapy? </w:t>
      </w:r>
    </w:p>
    <w:p w:rsidR="00226547" w:rsidRPr="00226547" w:rsidRDefault="00226547" w:rsidP="00226547">
      <w:pPr>
        <w:spacing w:after="375" w:line="300" w:lineRule="atLeast"/>
        <w:textAlignment w:val="baseline"/>
        <w:rPr>
          <w:rFonts w:ascii="Helvetica" w:eastAsiaTheme="minorEastAsia" w:hAnsi="Helvetica"/>
          <w:color w:val="000000"/>
          <w:kern w:val="0"/>
          <w:sz w:val="18"/>
          <w:szCs w:val="18"/>
          <w:lang w:eastAsia="en-US"/>
        </w:rPr>
      </w:pPr>
      <w:r w:rsidRPr="00226547">
        <w:rPr>
          <w:rFonts w:ascii="Helvetica" w:eastAsiaTheme="minorEastAsia" w:hAnsi="Helvetica"/>
          <w:color w:val="000000"/>
          <w:kern w:val="0"/>
          <w:sz w:val="18"/>
          <w:szCs w:val="18"/>
          <w:lang w:eastAsia="en-US"/>
        </w:rPr>
        <w:t>In 2012, California became the first state to protect LGBT youth from dangerous and scientifically discredited efforts by state-licensed therapists to change their sexual orientation or gender identity. This law (Senate Bill 1172) prohibits therapists who are licensed by the State of California from trying to change the sexual orientation or gender identity of people under 18. In 2013, New Jersey enacted a second law (Assembly Bill 3371). Oregon, Illinois, New York, Vermont, Washington, D.C., Cincinnati, Seattle, and three South Florida Cities–Miami Beach, Wilton Manors, and Miami–have since enacted similar protections. Today, NCLR is working with leaders in dozens of states to protect youth from the dangerous practice.</w:t>
      </w:r>
    </w:p>
    <w:p w:rsidR="00226547" w:rsidRPr="00226547" w:rsidRDefault="00226547" w:rsidP="00226547">
      <w:pPr>
        <w:spacing w:line="300" w:lineRule="atLeast"/>
        <w:jc w:val="center"/>
        <w:textAlignment w:val="baseline"/>
        <w:rPr>
          <w:rFonts w:ascii="Helvetica" w:eastAsiaTheme="minorEastAsia" w:hAnsi="Helvetica"/>
          <w:color w:val="000000"/>
          <w:kern w:val="0"/>
          <w:sz w:val="18"/>
          <w:szCs w:val="18"/>
          <w:lang w:eastAsia="en-US"/>
        </w:rPr>
      </w:pPr>
      <w:hyperlink r:id="rId14" w:history="1">
        <w:r w:rsidRPr="00226547">
          <w:rPr>
            <w:rFonts w:ascii="inherit" w:eastAsiaTheme="minorEastAsia" w:hAnsi="inherit"/>
            <w:b/>
            <w:bCs/>
            <w:color w:val="0092B9"/>
            <w:kern w:val="0"/>
            <w:sz w:val="18"/>
            <w:szCs w:val="18"/>
            <w:bdr w:val="none" w:sz="0" w:space="0" w:color="auto" w:frame="1"/>
            <w:lang w:eastAsia="en-US"/>
          </w:rPr>
          <w:t>Click here to find out if a law has been passed or introduced in your state.</w:t>
        </w:r>
      </w:hyperlink>
    </w:p>
    <w:p w:rsidR="00226547" w:rsidRPr="00226547" w:rsidRDefault="00226547" w:rsidP="00226547">
      <w:pPr>
        <w:spacing w:line="300" w:lineRule="atLeast"/>
        <w:textAlignment w:val="baseline"/>
        <w:rPr>
          <w:rFonts w:ascii="Helvetica" w:eastAsiaTheme="minorEastAsia" w:hAnsi="Helvetica"/>
          <w:color w:val="000000"/>
          <w:kern w:val="0"/>
          <w:sz w:val="18"/>
          <w:szCs w:val="18"/>
          <w:lang w:eastAsia="en-US"/>
        </w:rPr>
      </w:pPr>
      <w:r w:rsidRPr="00226547">
        <w:rPr>
          <w:rFonts w:ascii="inherit" w:eastAsiaTheme="minorEastAsia" w:hAnsi="inherit"/>
          <w:b/>
          <w:bCs/>
          <w:color w:val="993300"/>
          <w:kern w:val="0"/>
          <w:sz w:val="18"/>
          <w:szCs w:val="18"/>
          <w:bdr w:val="none" w:sz="0" w:space="0" w:color="auto" w:frame="1"/>
          <w:lang w:eastAsia="en-US"/>
        </w:rPr>
        <w:t>What Do These Laws Do?</w:t>
      </w:r>
    </w:p>
    <w:p w:rsidR="00226547" w:rsidRPr="00226547" w:rsidRDefault="00226547" w:rsidP="00226547">
      <w:pPr>
        <w:spacing w:line="300" w:lineRule="atLeast"/>
        <w:textAlignment w:val="baseline"/>
        <w:rPr>
          <w:rFonts w:ascii="Helvetica" w:eastAsiaTheme="minorEastAsia" w:hAnsi="Helvetica"/>
          <w:color w:val="000000"/>
          <w:kern w:val="0"/>
          <w:sz w:val="18"/>
          <w:szCs w:val="18"/>
          <w:lang w:eastAsia="en-US"/>
        </w:rPr>
      </w:pPr>
      <w:r w:rsidRPr="00226547">
        <w:rPr>
          <w:rFonts w:ascii="inherit" w:eastAsiaTheme="minorEastAsia" w:hAnsi="inherit" w:cs="Arial"/>
          <w:color w:val="000000"/>
          <w:kern w:val="0"/>
          <w:sz w:val="21"/>
          <w:szCs w:val="21"/>
          <w:bdr w:val="none" w:sz="0" w:space="0" w:color="auto" w:frame="1"/>
          <w:lang w:eastAsia="en-US"/>
        </w:rPr>
        <w:t xml:space="preserve">Laws passed in California, New Jersey, Washington, D.C., Oregon, Illinois, and Vermont, as well as bills introduced in many other states, </w:t>
      </w:r>
      <w:proofErr w:type="gramStart"/>
      <w:r w:rsidRPr="00226547">
        <w:rPr>
          <w:rFonts w:ascii="inherit" w:eastAsiaTheme="minorEastAsia" w:hAnsi="inherit" w:cs="Arial"/>
          <w:color w:val="000000"/>
          <w:kern w:val="0"/>
          <w:sz w:val="21"/>
          <w:szCs w:val="21"/>
          <w:bdr w:val="none" w:sz="0" w:space="0" w:color="auto" w:frame="1"/>
          <w:lang w:eastAsia="en-US"/>
        </w:rPr>
        <w:t>prohibit</w:t>
      </w:r>
      <w:proofErr w:type="gramEnd"/>
      <w:r w:rsidRPr="00226547">
        <w:rPr>
          <w:rFonts w:ascii="inherit" w:eastAsiaTheme="minorEastAsia" w:hAnsi="inherit" w:cs="Arial"/>
          <w:color w:val="000000"/>
          <w:kern w:val="0"/>
          <w:sz w:val="21"/>
          <w:szCs w:val="21"/>
          <w:bdr w:val="none" w:sz="0" w:space="0" w:color="auto" w:frame="1"/>
          <w:lang w:eastAsia="en-US"/>
        </w:rPr>
        <w:t xml:space="preserve"> state-licensed mental health professionals from engaging in efforts to change the sexual orientation or gender identity of a young person under 18 years of age.</w:t>
      </w:r>
    </w:p>
    <w:p w:rsidR="00226547" w:rsidRPr="00226547" w:rsidRDefault="00226547" w:rsidP="00226547">
      <w:pPr>
        <w:spacing w:line="300" w:lineRule="atLeast"/>
        <w:textAlignment w:val="baseline"/>
        <w:rPr>
          <w:rFonts w:ascii="Helvetica" w:eastAsiaTheme="minorEastAsia" w:hAnsi="Helvetica"/>
          <w:color w:val="000000"/>
          <w:kern w:val="0"/>
          <w:sz w:val="18"/>
          <w:szCs w:val="18"/>
          <w:lang w:eastAsia="en-US"/>
        </w:rPr>
      </w:pPr>
      <w:r w:rsidRPr="00226547">
        <w:rPr>
          <w:rFonts w:ascii="inherit" w:eastAsiaTheme="minorEastAsia" w:hAnsi="inherit" w:cs="Arial"/>
          <w:color w:val="000000"/>
          <w:kern w:val="0"/>
          <w:sz w:val="21"/>
          <w:szCs w:val="21"/>
          <w:bdr w:val="none" w:sz="0" w:space="0" w:color="auto" w:frame="1"/>
          <w:lang w:eastAsia="en-US"/>
        </w:rPr>
        <w:t>The laws describe these practices as “conversion therapy” and/or “sexual orientation change efforts” (SOCE), which is the scientific term used by the American Psychological Association and other groups that have warned patients about these scientifically discredited and dangerous practices. The laws define “conversion therapy” and “sexual orientation change efforts” to include any practices by mental health providers that seek to change an individual’s sexual orientation or gender identity. This includes efforts to change behaviors or gender expression, or to eliminate or reduce sexual or romantic attractions or feelings toward individuals of the same gender.</w:t>
      </w:r>
    </w:p>
    <w:p w:rsidR="00226547" w:rsidRPr="00226547" w:rsidRDefault="00226547" w:rsidP="00226547">
      <w:pPr>
        <w:spacing w:line="300" w:lineRule="atLeast"/>
        <w:textAlignment w:val="baseline"/>
        <w:rPr>
          <w:rFonts w:ascii="Helvetica" w:eastAsiaTheme="minorEastAsia" w:hAnsi="Helvetica"/>
          <w:color w:val="000000"/>
          <w:kern w:val="0"/>
          <w:sz w:val="18"/>
          <w:szCs w:val="18"/>
          <w:lang w:eastAsia="en-US"/>
        </w:rPr>
      </w:pPr>
      <w:r w:rsidRPr="00226547">
        <w:rPr>
          <w:rFonts w:ascii="inherit" w:eastAsiaTheme="minorEastAsia" w:hAnsi="inherit" w:cs="Arial"/>
          <w:color w:val="000000"/>
          <w:kern w:val="0"/>
          <w:sz w:val="21"/>
          <w:szCs w:val="21"/>
          <w:bdr w:val="none" w:sz="0" w:space="0" w:color="auto" w:frame="1"/>
          <w:lang w:eastAsia="en-US"/>
        </w:rPr>
        <w:t xml:space="preserve">The laws also state that the regulated practices do not include therapies that provide acceptance, support, and understanding of clients or the facilitation of clients’ coping, social support, and identity exploration and development, including sexual orientation-neutral efforts to prevent or address </w:t>
      </w:r>
      <w:r w:rsidRPr="00226547">
        <w:rPr>
          <w:rFonts w:ascii="inherit" w:eastAsiaTheme="minorEastAsia" w:hAnsi="inherit" w:cs="Arial"/>
          <w:color w:val="000000"/>
          <w:kern w:val="0"/>
          <w:sz w:val="21"/>
          <w:szCs w:val="21"/>
          <w:bdr w:val="none" w:sz="0" w:space="0" w:color="auto" w:frame="1"/>
          <w:lang w:eastAsia="en-US"/>
        </w:rPr>
        <w:lastRenderedPageBreak/>
        <w:t>unlawful conduct or unsafe sexual practices. They specifically exempt therapy designed to aid a person in a transition from one gender to another</w:t>
      </w:r>
    </w:p>
    <w:p w:rsidR="00226547" w:rsidRPr="00226547" w:rsidRDefault="00226547" w:rsidP="00226547">
      <w:pPr>
        <w:spacing w:line="300" w:lineRule="atLeast"/>
        <w:textAlignment w:val="baseline"/>
        <w:rPr>
          <w:rFonts w:ascii="Helvetica" w:eastAsiaTheme="minorEastAsia" w:hAnsi="Helvetica"/>
          <w:color w:val="000000"/>
          <w:kern w:val="0"/>
          <w:sz w:val="18"/>
          <w:szCs w:val="18"/>
          <w:lang w:eastAsia="en-US"/>
        </w:rPr>
      </w:pPr>
      <w:r w:rsidRPr="00226547">
        <w:rPr>
          <w:rFonts w:ascii="inherit" w:eastAsiaTheme="minorEastAsia" w:hAnsi="inherit" w:cs="Arial"/>
          <w:color w:val="000000"/>
          <w:kern w:val="0"/>
          <w:sz w:val="21"/>
          <w:szCs w:val="21"/>
          <w:bdr w:val="none" w:sz="0" w:space="0" w:color="auto" w:frame="1"/>
          <w:lang w:eastAsia="en-US"/>
        </w:rPr>
        <w:t>The Illinois law additionally prohibits any person from advertising conversion therapy services</w:t>
      </w:r>
      <w:r w:rsidRPr="00226547">
        <w:rPr>
          <w:rFonts w:ascii="Helvetica" w:eastAsiaTheme="minorEastAsia" w:hAnsi="Helvetica"/>
          <w:color w:val="000000"/>
          <w:kern w:val="0"/>
          <w:sz w:val="18"/>
          <w:szCs w:val="18"/>
          <w:lang w:eastAsia="en-US"/>
        </w:rPr>
        <w:t>.</w:t>
      </w:r>
    </w:p>
    <w:p w:rsidR="00226547" w:rsidRPr="00226547" w:rsidRDefault="00226547" w:rsidP="00226547">
      <w:pPr>
        <w:spacing w:line="300" w:lineRule="atLeast"/>
        <w:textAlignment w:val="baseline"/>
        <w:rPr>
          <w:rFonts w:ascii="Helvetica" w:eastAsiaTheme="minorEastAsia" w:hAnsi="Helvetica"/>
          <w:color w:val="000000"/>
          <w:kern w:val="0"/>
          <w:sz w:val="18"/>
          <w:szCs w:val="18"/>
          <w:lang w:eastAsia="en-US"/>
        </w:rPr>
      </w:pPr>
      <w:r w:rsidRPr="00226547">
        <w:rPr>
          <w:rFonts w:ascii="inherit" w:eastAsiaTheme="minorEastAsia" w:hAnsi="inherit"/>
          <w:b/>
          <w:bCs/>
          <w:color w:val="993300"/>
          <w:kern w:val="0"/>
          <w:sz w:val="18"/>
          <w:szCs w:val="18"/>
          <w:bdr w:val="none" w:sz="0" w:space="0" w:color="auto" w:frame="1"/>
          <w:lang w:eastAsia="en-US"/>
        </w:rPr>
        <w:t>Why Are These Laws Needed? </w:t>
      </w:r>
    </w:p>
    <w:p w:rsidR="00226547" w:rsidRPr="00226547" w:rsidRDefault="00226547" w:rsidP="00226547">
      <w:pPr>
        <w:spacing w:after="375" w:line="300" w:lineRule="atLeast"/>
        <w:textAlignment w:val="baseline"/>
        <w:rPr>
          <w:rFonts w:ascii="Helvetica" w:eastAsiaTheme="minorEastAsia" w:hAnsi="Helvetica"/>
          <w:color w:val="000000"/>
          <w:kern w:val="0"/>
          <w:sz w:val="18"/>
          <w:szCs w:val="18"/>
          <w:lang w:eastAsia="en-US"/>
        </w:rPr>
      </w:pPr>
      <w:r w:rsidRPr="00226547">
        <w:rPr>
          <w:rFonts w:ascii="Helvetica" w:eastAsiaTheme="minorEastAsia" w:hAnsi="Helvetica"/>
          <w:color w:val="000000"/>
          <w:kern w:val="0"/>
          <w:sz w:val="18"/>
          <w:szCs w:val="18"/>
          <w:lang w:eastAsia="en-US"/>
        </w:rPr>
        <w:t>These laws are needed to ensure that therapists who are licensed by the state are providing competent care and are not harming patients.  Before 1973, many mental health organizations inaccurately considered same-sex attraction to be a mental illness. In 1973, the American Psychiatric Association removed “homosexuality” from its official list of mental disorders. For decades, the American Psychiatric Association has recognized that being lesbian, gay, or bisexual is not a mental illness and that trying to change a person’s sexual orientation or gender identity is ineffective and dangerous.  Despite this consensus, some therapists continue to engage in these discredited and unsafe practices.</w:t>
      </w:r>
    </w:p>
    <w:p w:rsidR="00226547" w:rsidRPr="00226547" w:rsidRDefault="00226547" w:rsidP="00226547">
      <w:pPr>
        <w:spacing w:after="375" w:line="300" w:lineRule="atLeast"/>
        <w:textAlignment w:val="baseline"/>
        <w:rPr>
          <w:rFonts w:ascii="Helvetica" w:eastAsiaTheme="minorEastAsia" w:hAnsi="Helvetica"/>
          <w:color w:val="000000"/>
          <w:kern w:val="0"/>
          <w:sz w:val="18"/>
          <w:szCs w:val="18"/>
          <w:lang w:eastAsia="en-US"/>
        </w:rPr>
      </w:pPr>
      <w:r w:rsidRPr="00226547">
        <w:rPr>
          <w:rFonts w:ascii="Helvetica" w:eastAsiaTheme="minorEastAsia" w:hAnsi="Helvetica"/>
          <w:color w:val="000000"/>
          <w:kern w:val="0"/>
          <w:sz w:val="18"/>
          <w:szCs w:val="18"/>
          <w:lang w:eastAsia="en-US"/>
        </w:rPr>
        <w:t>These laws are especially needed to protect minors, who are almost always forced or coerced to undergo conversion therapy. These state-licensed practitioners frequently prey on well-intentioned parents and legal guardians who do not understand that they are putting their children at risk of serious harm.</w:t>
      </w:r>
    </w:p>
    <w:p w:rsidR="00226547" w:rsidRPr="00226547" w:rsidRDefault="00226547" w:rsidP="00226547">
      <w:pPr>
        <w:spacing w:after="375" w:line="300" w:lineRule="atLeast"/>
        <w:textAlignment w:val="baseline"/>
        <w:rPr>
          <w:rFonts w:ascii="Helvetica" w:eastAsiaTheme="minorEastAsia" w:hAnsi="Helvetica"/>
          <w:color w:val="000000"/>
          <w:kern w:val="0"/>
          <w:sz w:val="18"/>
          <w:szCs w:val="18"/>
          <w:lang w:eastAsia="en-US"/>
        </w:rPr>
      </w:pPr>
      <w:r w:rsidRPr="00226547">
        <w:rPr>
          <w:rFonts w:ascii="Helvetica" w:eastAsiaTheme="minorEastAsia" w:hAnsi="Helvetica"/>
          <w:color w:val="000000"/>
          <w:kern w:val="0"/>
          <w:sz w:val="18"/>
          <w:szCs w:val="18"/>
          <w:lang w:eastAsia="en-US"/>
        </w:rPr>
        <w:t>The state has a strong interest in ensuring that licensed health care providers follow professional standards of competence and do not engage in dangerous practices that have no scientific basis and put patients at risk of severe and long-lasting damage.</w:t>
      </w:r>
    </w:p>
    <w:p w:rsidR="00226547" w:rsidRPr="00226547" w:rsidRDefault="00226547" w:rsidP="00226547">
      <w:pPr>
        <w:spacing w:line="300" w:lineRule="atLeast"/>
        <w:jc w:val="center"/>
        <w:textAlignment w:val="baseline"/>
        <w:rPr>
          <w:rFonts w:ascii="Helvetica" w:eastAsiaTheme="minorEastAsia" w:hAnsi="Helvetica"/>
          <w:color w:val="000000"/>
          <w:kern w:val="0"/>
          <w:sz w:val="18"/>
          <w:szCs w:val="18"/>
          <w:lang w:eastAsia="en-US"/>
        </w:rPr>
      </w:pPr>
      <w:hyperlink r:id="rId15" w:history="1">
        <w:r w:rsidRPr="00226547">
          <w:rPr>
            <w:rFonts w:ascii="inherit" w:eastAsiaTheme="minorEastAsia" w:hAnsi="inherit"/>
            <w:b/>
            <w:bCs/>
            <w:color w:val="0092B9"/>
            <w:kern w:val="0"/>
            <w:sz w:val="18"/>
            <w:szCs w:val="18"/>
            <w:bdr w:val="none" w:sz="0" w:space="0" w:color="auto" w:frame="1"/>
            <w:lang w:eastAsia="en-US"/>
          </w:rPr>
          <w:t>Click here to find out how you can pass a law in your state.</w:t>
        </w:r>
      </w:hyperlink>
      <w:hyperlink r:id="rId16" w:history="1">
        <w:r w:rsidRPr="00226547">
          <w:rPr>
            <w:rFonts w:ascii="inherit" w:eastAsiaTheme="minorEastAsia" w:hAnsi="inherit"/>
            <w:b/>
            <w:bCs/>
            <w:color w:val="0092B9"/>
            <w:kern w:val="0"/>
            <w:sz w:val="18"/>
            <w:szCs w:val="18"/>
            <w:bdr w:val="none" w:sz="0" w:space="0" w:color="auto" w:frame="1"/>
            <w:lang w:eastAsia="en-US"/>
          </w:rPr>
          <w:br/>
        </w:r>
      </w:hyperlink>
    </w:p>
    <w:p w:rsidR="00226547" w:rsidRPr="00226547" w:rsidRDefault="00226547" w:rsidP="00226547">
      <w:pPr>
        <w:spacing w:line="300" w:lineRule="atLeast"/>
        <w:textAlignment w:val="baseline"/>
        <w:rPr>
          <w:rFonts w:ascii="Helvetica" w:eastAsiaTheme="minorEastAsia" w:hAnsi="Helvetica"/>
          <w:color w:val="000000"/>
          <w:kern w:val="0"/>
          <w:sz w:val="18"/>
          <w:szCs w:val="18"/>
          <w:lang w:eastAsia="en-US"/>
        </w:rPr>
      </w:pPr>
      <w:hyperlink r:id="rId17" w:history="1">
        <w:r w:rsidRPr="00226547">
          <w:rPr>
            <w:rFonts w:ascii="inherit" w:eastAsiaTheme="minorEastAsia" w:hAnsi="inherit"/>
            <w:b/>
            <w:bCs/>
            <w:color w:val="993300"/>
            <w:kern w:val="0"/>
            <w:sz w:val="18"/>
            <w:szCs w:val="18"/>
            <w:bdr w:val="none" w:sz="0" w:space="0" w:color="auto" w:frame="1"/>
            <w:lang w:eastAsia="en-US"/>
          </w:rPr>
          <w:t>Have These Laws Been Challenged in Court?  </w:t>
        </w:r>
      </w:hyperlink>
    </w:p>
    <w:p w:rsidR="00226547" w:rsidRPr="00226547" w:rsidRDefault="00226547" w:rsidP="00226547">
      <w:pPr>
        <w:spacing w:after="375" w:line="300" w:lineRule="atLeast"/>
        <w:textAlignment w:val="baseline"/>
        <w:rPr>
          <w:rFonts w:ascii="Helvetica" w:eastAsiaTheme="minorEastAsia" w:hAnsi="Helvetica"/>
          <w:color w:val="000000"/>
          <w:kern w:val="0"/>
          <w:sz w:val="18"/>
          <w:szCs w:val="18"/>
          <w:lang w:eastAsia="en-US"/>
        </w:rPr>
      </w:pPr>
      <w:r w:rsidRPr="00226547">
        <w:rPr>
          <w:rFonts w:ascii="Helvetica" w:eastAsiaTheme="minorEastAsia" w:hAnsi="Helvetica"/>
          <w:color w:val="000000"/>
          <w:kern w:val="0"/>
          <w:sz w:val="18"/>
          <w:szCs w:val="18"/>
          <w:lang w:eastAsia="en-US"/>
        </w:rPr>
        <w:t>After California Governor Jerry Brown signed California’s bill into law, two anti-LGBT groups filed lawsuits claiming that it violates their constitutional rights to freedom of speech and religion and is unconstitutionally vague. These claims have no merit. Many laws regulate the conduct of licensed therapists when dealing with patients, and these laws are just as valid as other regulations that require licensed professionals to provide safe, competent care and protect patients from harm and abuse. A panel of the United States Court of Appeals unanimously ruled that the California law is valid, and the Supreme Court of the United States declined review. The same anti-LGBT groups then filed challenges to the law in New Jersey, where a federal district court upheld it as well. The Supreme Court of the United States declined review in this case also.</w:t>
      </w:r>
    </w:p>
    <w:p w:rsidR="00226547" w:rsidRPr="00226547" w:rsidRDefault="00226547" w:rsidP="00226547">
      <w:pPr>
        <w:spacing w:line="300" w:lineRule="atLeast"/>
        <w:jc w:val="center"/>
        <w:textAlignment w:val="baseline"/>
        <w:rPr>
          <w:rFonts w:ascii="Helvetica" w:eastAsiaTheme="minorEastAsia" w:hAnsi="Helvetica"/>
          <w:color w:val="000000"/>
          <w:kern w:val="0"/>
          <w:sz w:val="18"/>
          <w:szCs w:val="18"/>
          <w:lang w:eastAsia="en-US"/>
        </w:rPr>
      </w:pPr>
      <w:hyperlink r:id="rId18" w:history="1">
        <w:r w:rsidRPr="00226547">
          <w:rPr>
            <w:rFonts w:ascii="inherit" w:eastAsiaTheme="minorEastAsia" w:hAnsi="inherit"/>
            <w:b/>
            <w:bCs/>
            <w:color w:val="0092B9"/>
            <w:kern w:val="0"/>
            <w:sz w:val="18"/>
            <w:szCs w:val="18"/>
            <w:bdr w:val="none" w:sz="0" w:space="0" w:color="auto" w:frame="1"/>
            <w:lang w:eastAsia="en-US"/>
          </w:rPr>
          <w:t>Click here to learn more about NCLR’s work defending these laws in court.</w:t>
        </w:r>
      </w:hyperlink>
    </w:p>
    <w:p w:rsidR="00226547" w:rsidRPr="00226547" w:rsidRDefault="00226547" w:rsidP="00226547">
      <w:pPr>
        <w:spacing w:line="300" w:lineRule="atLeast"/>
        <w:textAlignment w:val="baseline"/>
        <w:rPr>
          <w:rFonts w:ascii="Helvetica" w:eastAsiaTheme="minorEastAsia" w:hAnsi="Helvetica"/>
          <w:color w:val="000000"/>
          <w:kern w:val="0"/>
          <w:sz w:val="18"/>
          <w:szCs w:val="18"/>
          <w:lang w:eastAsia="en-US"/>
        </w:rPr>
      </w:pPr>
      <w:r w:rsidRPr="00226547">
        <w:rPr>
          <w:rFonts w:ascii="inherit" w:eastAsiaTheme="minorEastAsia" w:hAnsi="inherit"/>
          <w:b/>
          <w:bCs/>
          <w:color w:val="993300"/>
          <w:kern w:val="0"/>
          <w:sz w:val="18"/>
          <w:szCs w:val="18"/>
          <w:bdr w:val="none" w:sz="0" w:space="0" w:color="auto" w:frame="1"/>
          <w:lang w:eastAsia="en-US"/>
        </w:rPr>
        <w:br/>
        <w:t>What Can I Do if I Find Out that a California, New Jersey, Washington, D.C., Oregon, Illinois, or Vermont Licensed Mental Health Care Provider Is Practicing Conversion Therapy?</w:t>
      </w:r>
      <w:r w:rsidRPr="00226547">
        <w:rPr>
          <w:rFonts w:ascii="inherit" w:eastAsiaTheme="minorEastAsia" w:hAnsi="inherit"/>
          <w:b/>
          <w:bCs/>
          <w:color w:val="993300"/>
          <w:kern w:val="0"/>
          <w:sz w:val="18"/>
          <w:szCs w:val="18"/>
          <w:bdr w:val="none" w:sz="0" w:space="0" w:color="auto" w:frame="1"/>
          <w:lang w:eastAsia="en-US"/>
        </w:rPr>
        <w:br/>
      </w:r>
    </w:p>
    <w:p w:rsidR="00226547" w:rsidRPr="00226547" w:rsidRDefault="00226547" w:rsidP="00226547">
      <w:pPr>
        <w:spacing w:after="375" w:line="300" w:lineRule="atLeast"/>
        <w:textAlignment w:val="baseline"/>
        <w:rPr>
          <w:rFonts w:ascii="Helvetica" w:eastAsiaTheme="minorEastAsia" w:hAnsi="Helvetica"/>
          <w:color w:val="000000"/>
          <w:kern w:val="0"/>
          <w:sz w:val="18"/>
          <w:szCs w:val="18"/>
          <w:lang w:eastAsia="en-US"/>
        </w:rPr>
      </w:pPr>
      <w:r w:rsidRPr="00226547">
        <w:rPr>
          <w:rFonts w:ascii="Helvetica" w:eastAsiaTheme="minorEastAsia" w:hAnsi="Helvetica"/>
          <w:color w:val="000000"/>
          <w:kern w:val="0"/>
          <w:sz w:val="18"/>
          <w:szCs w:val="18"/>
          <w:lang w:eastAsia="en-US"/>
        </w:rPr>
        <w:t>Different licensing boards regulate different types of mental health professionals. If you discover that a California, New Jersey, Washington, D.C., Oregon, Illinois, or Vermont mental health provider is engaging in these practices with a minor, please contact NCLR.</w:t>
      </w:r>
    </w:p>
    <w:p w:rsidR="00226547" w:rsidRPr="00226547" w:rsidRDefault="00226547" w:rsidP="00226547">
      <w:pPr>
        <w:spacing w:line="300" w:lineRule="atLeast"/>
        <w:textAlignment w:val="baseline"/>
        <w:rPr>
          <w:rFonts w:ascii="Helvetica" w:eastAsiaTheme="minorEastAsia" w:hAnsi="Helvetica"/>
          <w:color w:val="000000"/>
          <w:kern w:val="0"/>
          <w:sz w:val="18"/>
          <w:szCs w:val="18"/>
          <w:lang w:eastAsia="en-US"/>
        </w:rPr>
      </w:pPr>
      <w:r w:rsidRPr="00226547">
        <w:rPr>
          <w:rFonts w:ascii="inherit" w:eastAsiaTheme="minorEastAsia" w:hAnsi="inherit"/>
          <w:b/>
          <w:bCs/>
          <w:color w:val="993300"/>
          <w:kern w:val="0"/>
          <w:sz w:val="18"/>
          <w:szCs w:val="18"/>
          <w:bdr w:val="none" w:sz="0" w:space="0" w:color="auto" w:frame="1"/>
          <w:lang w:eastAsia="en-US"/>
        </w:rPr>
        <w:lastRenderedPageBreak/>
        <w:t>How Can I Help Enact a Similar Law in my State? </w:t>
      </w:r>
    </w:p>
    <w:p w:rsidR="00226547" w:rsidRPr="00226547" w:rsidRDefault="00226547" w:rsidP="00226547">
      <w:pPr>
        <w:spacing w:line="300" w:lineRule="atLeast"/>
        <w:textAlignment w:val="baseline"/>
        <w:rPr>
          <w:rFonts w:ascii="Helvetica" w:eastAsiaTheme="minorEastAsia" w:hAnsi="Helvetica"/>
          <w:color w:val="000000"/>
          <w:kern w:val="0"/>
          <w:sz w:val="18"/>
          <w:szCs w:val="18"/>
          <w:lang w:eastAsia="en-US"/>
        </w:rPr>
      </w:pPr>
      <w:r w:rsidRPr="00226547">
        <w:rPr>
          <w:rFonts w:ascii="Helvetica" w:eastAsiaTheme="minorEastAsia" w:hAnsi="Helvetica"/>
          <w:color w:val="000000"/>
          <w:kern w:val="0"/>
          <w:sz w:val="18"/>
          <w:szCs w:val="18"/>
          <w:lang w:eastAsia="en-US"/>
        </w:rPr>
        <w:t>NCLR is providing support and assistance to advocates who are seeking to enact such laws across the country. If you would like to help enacting a similar law in your state, please contact #</w:t>
      </w:r>
      <w:proofErr w:type="spellStart"/>
      <w:r w:rsidRPr="00226547">
        <w:rPr>
          <w:rFonts w:ascii="Helvetica" w:eastAsiaTheme="minorEastAsia" w:hAnsi="Helvetica"/>
          <w:color w:val="000000"/>
          <w:kern w:val="0"/>
          <w:sz w:val="18"/>
          <w:szCs w:val="18"/>
          <w:lang w:eastAsia="en-US"/>
        </w:rPr>
        <w:t>BornPerfect</w:t>
      </w:r>
      <w:proofErr w:type="spellEnd"/>
      <w:r w:rsidRPr="00226547">
        <w:rPr>
          <w:rFonts w:ascii="Helvetica" w:eastAsiaTheme="minorEastAsia" w:hAnsi="Helvetica"/>
          <w:color w:val="000000"/>
          <w:kern w:val="0"/>
          <w:sz w:val="18"/>
          <w:szCs w:val="18"/>
          <w:lang w:eastAsia="en-US"/>
        </w:rPr>
        <w:t xml:space="preserve"> Campaign Coordinator &amp; Youth Policy Counsel Carolyn Reyes at </w:t>
      </w:r>
      <w:hyperlink r:id="rId19" w:history="1">
        <w:r w:rsidRPr="00226547">
          <w:rPr>
            <w:rFonts w:ascii="inherit" w:eastAsiaTheme="minorEastAsia" w:hAnsi="inherit"/>
            <w:color w:val="0092B9"/>
            <w:kern w:val="0"/>
            <w:sz w:val="18"/>
            <w:szCs w:val="18"/>
            <w:bdr w:val="none" w:sz="0" w:space="0" w:color="auto" w:frame="1"/>
            <w:lang w:eastAsia="en-US"/>
          </w:rPr>
          <w:t>BornPerfect@NCLRights.org</w:t>
        </w:r>
      </w:hyperlink>
      <w:r w:rsidRPr="00226547">
        <w:rPr>
          <w:rFonts w:ascii="Helvetica" w:eastAsiaTheme="minorEastAsia" w:hAnsi="Helvetica"/>
          <w:color w:val="000000"/>
          <w:kern w:val="0"/>
          <w:sz w:val="18"/>
          <w:szCs w:val="18"/>
          <w:lang w:eastAsia="en-US"/>
        </w:rPr>
        <w:t>.</w:t>
      </w:r>
    </w:p>
    <w:p w:rsidR="00226547" w:rsidRPr="00226547" w:rsidRDefault="00226547" w:rsidP="00226547">
      <w:pPr>
        <w:rPr>
          <w:kern w:val="0"/>
          <w:sz w:val="20"/>
          <w:szCs w:val="20"/>
          <w:lang w:eastAsia="en-US"/>
        </w:rPr>
      </w:pPr>
    </w:p>
    <w:p w:rsidR="00E36E49" w:rsidRDefault="00E36E49"/>
    <w:p w:rsidR="004814F0" w:rsidRPr="004814F0" w:rsidRDefault="004814F0" w:rsidP="004814F0">
      <w:pPr>
        <w:numPr>
          <w:ilvl w:val="0"/>
          <w:numId w:val="3"/>
        </w:numPr>
        <w:ind w:left="300"/>
        <w:textAlignment w:val="baseline"/>
        <w:rPr>
          <w:rFonts w:ascii="inherit" w:hAnsi="inherit"/>
          <w:color w:val="000000"/>
          <w:kern w:val="0"/>
          <w:sz w:val="18"/>
          <w:szCs w:val="18"/>
          <w:lang w:eastAsia="en-US"/>
        </w:rPr>
      </w:pPr>
      <w:r w:rsidRPr="004814F0">
        <w:rPr>
          <w:rFonts w:ascii="inherit" w:hAnsi="inherit"/>
          <w:b/>
          <w:bCs/>
          <w:color w:val="000000"/>
          <w:kern w:val="0"/>
          <w:sz w:val="18"/>
          <w:szCs w:val="18"/>
          <w:bdr w:val="none" w:sz="0" w:space="0" w:color="auto" w:frame="1"/>
          <w:lang w:eastAsia="en-US"/>
        </w:rPr>
        <w:t>New York</w:t>
      </w:r>
      <w:r w:rsidRPr="004814F0">
        <w:rPr>
          <w:rFonts w:ascii="inherit" w:hAnsi="inherit"/>
          <w:color w:val="000000"/>
          <w:kern w:val="0"/>
          <w:sz w:val="18"/>
          <w:szCs w:val="18"/>
          <w:lang w:eastAsia="en-US"/>
        </w:rPr>
        <w:t xml:space="preserve">–SB 263 introduced on January 4, 2017. AB 3977 introduced and referred to Committee on Higher Education on January 30, 2017. AB 3977 passed Committee on Higher Education by a vote </w:t>
      </w:r>
      <w:proofErr w:type="gramStart"/>
      <w:r w:rsidRPr="004814F0">
        <w:rPr>
          <w:rFonts w:ascii="inherit" w:hAnsi="inherit"/>
          <w:color w:val="000000"/>
          <w:kern w:val="0"/>
          <w:sz w:val="18"/>
          <w:szCs w:val="18"/>
          <w:lang w:eastAsia="en-US"/>
        </w:rPr>
        <w:t>of  21</w:t>
      </w:r>
      <w:proofErr w:type="gramEnd"/>
      <w:r w:rsidRPr="004814F0">
        <w:rPr>
          <w:rFonts w:ascii="inherit" w:hAnsi="inherit"/>
          <w:color w:val="000000"/>
          <w:kern w:val="0"/>
          <w:sz w:val="18"/>
          <w:szCs w:val="18"/>
          <w:lang w:eastAsia="en-US"/>
        </w:rPr>
        <w:t>-4 and referred to Committee on Codes on February 28, 2017.  AB 3977 passed Committee on Codes by a vote of 16-5 on March 7, 2017. AB 3977 passed Assembly and referred to Senate Committee on Higher Education on March 28, 2017. AB 3977 died in Senate and returned to Assembly on January 3, 2018.</w:t>
      </w:r>
    </w:p>
    <w:p w:rsidR="004814F0" w:rsidRDefault="004814F0">
      <w:bookmarkStart w:id="0" w:name="_GoBack"/>
      <w:bookmarkEnd w:id="0"/>
    </w:p>
    <w:sectPr w:rsidR="004814F0" w:rsidSect="0022654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5226F13"/>
    <w:multiLevelType w:val="multilevel"/>
    <w:tmpl w:val="D9567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9B1236"/>
    <w:multiLevelType w:val="multilevel"/>
    <w:tmpl w:val="B7EC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547"/>
    <w:rsid w:val="00205475"/>
    <w:rsid w:val="00226547"/>
    <w:rsid w:val="0026677D"/>
    <w:rsid w:val="004814F0"/>
    <w:rsid w:val="0061476F"/>
    <w:rsid w:val="006859E9"/>
    <w:rsid w:val="007552F9"/>
    <w:rsid w:val="008B1247"/>
    <w:rsid w:val="00B82365"/>
    <w:rsid w:val="00BF6EAF"/>
    <w:rsid w:val="00E36E49"/>
    <w:rsid w:val="00F72C1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85E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kern w:val="24"/>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12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1247"/>
    <w:rPr>
      <w:rFonts w:ascii="Lucida Grande" w:eastAsia="Times New Roman" w:hAnsi="Lucida Grande" w:cs="Lucida Grande"/>
      <w:sz w:val="18"/>
      <w:szCs w:val="18"/>
    </w:rPr>
  </w:style>
  <w:style w:type="paragraph" w:styleId="NormalWeb">
    <w:name w:val="Normal (Web)"/>
    <w:basedOn w:val="Normal"/>
    <w:uiPriority w:val="99"/>
    <w:semiHidden/>
    <w:unhideWhenUsed/>
    <w:rsid w:val="00226547"/>
    <w:pPr>
      <w:spacing w:before="100" w:beforeAutospacing="1" w:after="100" w:afterAutospacing="1"/>
    </w:pPr>
    <w:rPr>
      <w:rFonts w:eastAsiaTheme="minorEastAsia"/>
      <w:kern w:val="0"/>
      <w:sz w:val="20"/>
      <w:szCs w:val="20"/>
      <w:lang w:eastAsia="en-US"/>
    </w:rPr>
  </w:style>
  <w:style w:type="character" w:styleId="Strong">
    <w:name w:val="Strong"/>
    <w:basedOn w:val="DefaultParagraphFont"/>
    <w:uiPriority w:val="22"/>
    <w:qFormat/>
    <w:rsid w:val="00226547"/>
    <w:rPr>
      <w:b/>
      <w:bCs/>
    </w:rPr>
  </w:style>
  <w:style w:type="character" w:customStyle="1" w:styleId="apple-converted-space">
    <w:name w:val="apple-converted-space"/>
    <w:basedOn w:val="DefaultParagraphFont"/>
    <w:rsid w:val="00226547"/>
  </w:style>
  <w:style w:type="character" w:styleId="Hyperlink">
    <w:name w:val="Hyperlink"/>
    <w:basedOn w:val="DefaultParagraphFont"/>
    <w:uiPriority w:val="99"/>
    <w:semiHidden/>
    <w:unhideWhenUsed/>
    <w:rsid w:val="00226547"/>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kern w:val="24"/>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12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1247"/>
    <w:rPr>
      <w:rFonts w:ascii="Lucida Grande" w:eastAsia="Times New Roman" w:hAnsi="Lucida Grande" w:cs="Lucida Grande"/>
      <w:sz w:val="18"/>
      <w:szCs w:val="18"/>
    </w:rPr>
  </w:style>
  <w:style w:type="paragraph" w:styleId="NormalWeb">
    <w:name w:val="Normal (Web)"/>
    <w:basedOn w:val="Normal"/>
    <w:uiPriority w:val="99"/>
    <w:semiHidden/>
    <w:unhideWhenUsed/>
    <w:rsid w:val="00226547"/>
    <w:pPr>
      <w:spacing w:before="100" w:beforeAutospacing="1" w:after="100" w:afterAutospacing="1"/>
    </w:pPr>
    <w:rPr>
      <w:rFonts w:eastAsiaTheme="minorEastAsia"/>
      <w:kern w:val="0"/>
      <w:sz w:val="20"/>
      <w:szCs w:val="20"/>
      <w:lang w:eastAsia="en-US"/>
    </w:rPr>
  </w:style>
  <w:style w:type="character" w:styleId="Strong">
    <w:name w:val="Strong"/>
    <w:basedOn w:val="DefaultParagraphFont"/>
    <w:uiPriority w:val="22"/>
    <w:qFormat/>
    <w:rsid w:val="00226547"/>
    <w:rPr>
      <w:b/>
      <w:bCs/>
    </w:rPr>
  </w:style>
  <w:style w:type="character" w:customStyle="1" w:styleId="apple-converted-space">
    <w:name w:val="apple-converted-space"/>
    <w:basedOn w:val="DefaultParagraphFont"/>
    <w:rsid w:val="00226547"/>
  </w:style>
  <w:style w:type="character" w:styleId="Hyperlink">
    <w:name w:val="Hyperlink"/>
    <w:basedOn w:val="DefaultParagraphFont"/>
    <w:uiPriority w:val="99"/>
    <w:semiHidden/>
    <w:unhideWhenUsed/>
    <w:rsid w:val="002265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946829">
      <w:bodyDiv w:val="1"/>
      <w:marLeft w:val="0"/>
      <w:marRight w:val="0"/>
      <w:marTop w:val="0"/>
      <w:marBottom w:val="0"/>
      <w:divBdr>
        <w:top w:val="none" w:sz="0" w:space="0" w:color="auto"/>
        <w:left w:val="none" w:sz="0" w:space="0" w:color="auto"/>
        <w:bottom w:val="none" w:sz="0" w:space="0" w:color="auto"/>
        <w:right w:val="none" w:sz="0" w:space="0" w:color="auto"/>
      </w:divBdr>
    </w:div>
    <w:div w:id="1474903411">
      <w:bodyDiv w:val="1"/>
      <w:marLeft w:val="0"/>
      <w:marRight w:val="0"/>
      <w:marTop w:val="0"/>
      <w:marBottom w:val="0"/>
      <w:divBdr>
        <w:top w:val="none" w:sz="0" w:space="0" w:color="auto"/>
        <w:left w:val="none" w:sz="0" w:space="0" w:color="auto"/>
        <w:bottom w:val="none" w:sz="0" w:space="0" w:color="auto"/>
        <w:right w:val="none" w:sz="0" w:space="0" w:color="auto"/>
      </w:divBdr>
    </w:div>
    <w:div w:id="15610213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nclrights.org/bornperfect-survivor-stories-and-survivor-network" TargetMode="External"/><Relationship Id="rId11" Type="http://schemas.openxmlformats.org/officeDocument/2006/relationships/hyperlink" Target="http://www.nclrights.org/bornperfect-Toolkit-resources-statement" TargetMode="External"/><Relationship Id="rId12" Type="http://schemas.openxmlformats.org/officeDocument/2006/relationships/hyperlink" Target="http://www.nclrights.org/bornperfect-Toolkit-resources-statement" TargetMode="External"/><Relationship Id="rId13" Type="http://schemas.openxmlformats.org/officeDocument/2006/relationships/hyperlink" Target="http://www.nclrights.org/bornperfect-survivor-stories-and-survivor-network" TargetMode="External"/><Relationship Id="rId14" Type="http://schemas.openxmlformats.org/officeDocument/2006/relationships/hyperlink" Target="http://www.nclrights.org/bornperfect-laws-legislation-by-state" TargetMode="External"/><Relationship Id="rId15" Type="http://schemas.openxmlformats.org/officeDocument/2006/relationships/hyperlink" Target="http://www.nclrights.org/bornperfect-laws-legislation-by-state/" TargetMode="External"/><Relationship Id="rId16" Type="http://schemas.openxmlformats.org/officeDocument/2006/relationships/hyperlink" Target="http://www.nclrights.org/bornperfect-what-you-can-do" TargetMode="External"/><Relationship Id="rId17" Type="http://schemas.openxmlformats.org/officeDocument/2006/relationships/hyperlink" Target="http://www.nclrights.org/bornperfect-what-you-can-do" TargetMode="External"/><Relationship Id="rId18" Type="http://schemas.openxmlformats.org/officeDocument/2006/relationships/hyperlink" Target="http://www.nclrights.org/bornperfect-legal-cases" TargetMode="External"/><Relationship Id="rId19" Type="http://schemas.openxmlformats.org/officeDocument/2006/relationships/hyperlink" Target="mailto:bornperfect@nclrights.org"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nclrights.org/our-work/asylum-immigration/" TargetMode="External"/><Relationship Id="rId7" Type="http://schemas.openxmlformats.org/officeDocument/2006/relationships/hyperlink" Target="http://www.nclrights.org/our-work/bornperfect/" TargetMode="External"/><Relationship Id="rId8" Type="http://schemas.openxmlformats.org/officeDocument/2006/relationships/hyperlink" Target="http://www.nclrights.org/our-work/el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2563</Words>
  <Characters>14611</Characters>
  <Application>Microsoft Macintosh Word</Application>
  <DocSecurity>0</DocSecurity>
  <Lines>121</Lines>
  <Paragraphs>34</Paragraphs>
  <ScaleCrop>false</ScaleCrop>
  <Company/>
  <LinksUpToDate>false</LinksUpToDate>
  <CharactersWithSpaces>17140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Brady</dc:creator>
  <cp:keywords/>
  <dc:description/>
  <cp:lastModifiedBy>Peggy Brady</cp:lastModifiedBy>
  <cp:revision>1</cp:revision>
  <cp:lastPrinted>2018-01-27T00:12:00Z</cp:lastPrinted>
  <dcterms:created xsi:type="dcterms:W3CDTF">2018-01-26T23:57:00Z</dcterms:created>
  <dcterms:modified xsi:type="dcterms:W3CDTF">2018-01-27T00:13:00Z</dcterms:modified>
</cp:coreProperties>
</file>