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59" w:rsidRPr="00F20359" w:rsidRDefault="00F20359" w:rsidP="00F20359">
      <w:pPr>
        <w:rPr>
          <w:b/>
          <w:sz w:val="28"/>
          <w:szCs w:val="28"/>
        </w:rPr>
      </w:pPr>
      <w:r w:rsidRPr="00F20359">
        <w:rPr>
          <w:b/>
          <w:sz w:val="28"/>
          <w:szCs w:val="28"/>
        </w:rPr>
        <w:t>The socio-economic development of the region is focused on ecology</w:t>
      </w:r>
    </w:p>
    <w:p w:rsidR="00F20359" w:rsidRDefault="00F20359" w:rsidP="00F20359">
      <w:bookmarkStart w:id="0" w:name="_GoBack"/>
      <w:bookmarkEnd w:id="0"/>
    </w:p>
    <w:p w:rsidR="00F20359" w:rsidRPr="00F20359" w:rsidRDefault="00F20359" w:rsidP="00F20359">
      <w:pPr>
        <w:rPr>
          <w:sz w:val="28"/>
          <w:szCs w:val="28"/>
        </w:rPr>
      </w:pPr>
      <w:r w:rsidRPr="00F20359">
        <w:rPr>
          <w:sz w:val="28"/>
          <w:szCs w:val="28"/>
        </w:rPr>
        <w:t xml:space="preserve">Since 2019, 606 solid municipal waste dumps with a total area of ​​over 289 hectares have been liquidated in the region. In the last year of the Tyumen regional budget for these purposes it has been allocated more than 282 million rubles. </w:t>
      </w:r>
      <w:proofErr w:type="gramStart"/>
      <w:r w:rsidRPr="00F20359">
        <w:rPr>
          <w:sz w:val="28"/>
          <w:szCs w:val="28"/>
        </w:rPr>
        <w:t xml:space="preserve">Such figures were given at a recent meeting of the presidium of the regional government by the director of the regional department of subsoil use and ecology Elena </w:t>
      </w:r>
      <w:proofErr w:type="spellStart"/>
      <w:r w:rsidRPr="00F20359">
        <w:rPr>
          <w:sz w:val="28"/>
          <w:szCs w:val="28"/>
        </w:rPr>
        <w:t>Ulyasheva</w:t>
      </w:r>
      <w:proofErr w:type="spellEnd"/>
      <w:proofErr w:type="gramEnd"/>
      <w:r w:rsidRPr="00F20359">
        <w:rPr>
          <w:sz w:val="28"/>
          <w:szCs w:val="28"/>
        </w:rPr>
        <w:t>.</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It should be noted that in 2020 in the Tyumen region, in the course of the implementation of the regional state program "Subsoil Use and Environmental Protection", 145 unauthorized dumps with a total area of ​​more than 72 hectares were liquidated. In the near future in the region must be eliminated more 526 dumps. To this end, the municipalities will be allocated subsidies from the regional budget. The authorities approach the solution of the issues of the ecological well-being of the region in a complex manner: in the territory of the region, three waste sorting plants and one waste transfer station have been built and are already operating. According to Governor Alexander Moor, it is necessary to introduce the principles of civilized and responsible waste management into the public consciousness. "It is our duty to future generations," - said the governor.</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With the onset of the spring-summer period, the Department of Subsoil Use and Ecology of the Tyumen Region announced the start of an action to clean the banks of water bodies from garbage "Water of Russia". In total, within the framework of this action, it is planned to hold about thirty events, in which both citizens and teams of enterprises and organizations take part. The plans for August 2021 are that the employees of the department will conduct surveys of new water bodies planned for clearing, as well as measures for the separate accumulation and collection of waste in shopping centers, educational institutions, and buildings of executive authorities.</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xml:space="preserve">The ministry reported that the government of the Tyumen region is taking steps to preserve the unique natural ecosystems. At the end of June 2021, a decree was adopted on the creation of a natural monument of regional significance "Lake </w:t>
      </w:r>
      <w:proofErr w:type="spellStart"/>
      <w:r w:rsidRPr="00F20359">
        <w:rPr>
          <w:sz w:val="28"/>
          <w:szCs w:val="28"/>
        </w:rPr>
        <w:t>Bolshoy</w:t>
      </w:r>
      <w:proofErr w:type="spellEnd"/>
      <w:r w:rsidRPr="00F20359">
        <w:rPr>
          <w:sz w:val="28"/>
          <w:szCs w:val="28"/>
        </w:rPr>
        <w:t xml:space="preserve"> </w:t>
      </w:r>
      <w:proofErr w:type="spellStart"/>
      <w:r w:rsidRPr="00F20359">
        <w:rPr>
          <w:sz w:val="28"/>
          <w:szCs w:val="28"/>
        </w:rPr>
        <w:t>Uvat</w:t>
      </w:r>
      <w:proofErr w:type="spellEnd"/>
      <w:r w:rsidRPr="00F20359">
        <w:rPr>
          <w:sz w:val="28"/>
          <w:szCs w:val="28"/>
        </w:rPr>
        <w:t xml:space="preserve">" in the </w:t>
      </w:r>
      <w:proofErr w:type="spellStart"/>
      <w:r w:rsidRPr="00F20359">
        <w:rPr>
          <w:sz w:val="28"/>
          <w:szCs w:val="28"/>
        </w:rPr>
        <w:t>Vagai</w:t>
      </w:r>
      <w:proofErr w:type="spellEnd"/>
      <w:r w:rsidRPr="00F20359">
        <w:rPr>
          <w:sz w:val="28"/>
          <w:szCs w:val="28"/>
        </w:rPr>
        <w:t xml:space="preserve"> region. Thus, in the Tyumen area created hundredth of specially protected natural area. To preserve the unique ecosystem of the lake, the adopted resolution on the boundaries of the object prohibited the placement of waste, wastewater discharge, the creation of artificial land plots, irrigation and drainage and dredging works, spring hunting for waterfowl, mining.</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xml:space="preserve">For the government of the Tyumen region and the regional executive authorities, a roadmap will be developed for the formation of a green course in the framework of the socio-economic development of the region. Olga </w:t>
      </w:r>
      <w:proofErr w:type="spellStart"/>
      <w:r w:rsidRPr="00F20359">
        <w:rPr>
          <w:sz w:val="28"/>
          <w:szCs w:val="28"/>
        </w:rPr>
        <w:t>Zakharova</w:t>
      </w:r>
      <w:proofErr w:type="spellEnd"/>
      <w:r w:rsidRPr="00F20359">
        <w:rPr>
          <w:sz w:val="28"/>
          <w:szCs w:val="28"/>
        </w:rPr>
        <w:t>, Candidate of Philosophical Sciences, Master of Economics, head of the project "Development of Green Transformation: Technologies of Value, Practices, Socio-Economic Effects"</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The project's objective - to build a mathematical model of a rich regional development taking into account the implementation of green practices.</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We are exploring how you can green the regional development. So that green technologies and practices have been more, but their distribution was becoming a trend. Using the methodology of strategic planning, we are developing tools for greening, in order to then offer the authorities some recommendations, a roadmap, plans for the implementation of the green course, the expert said.</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Several sub-projects are currently being implemented within the framework of this large project. A number of them have been supported either financially or organizationally. For example, the subproject "Green Region" as a concept of spatial development "is devoted to a systematic analysis of the factors of development of the territory of the region and is being implemented with financial support from the government of the Tyumen region and the Russian Foundation for Basic Research.</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The sub-project "Greens against Greens: Discourse Analysis of Social Networks" is aimed at studying content related to environmental issues and the degree of "greenness" of the participants in the discussions.</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xml:space="preserve">The subproject “Management System for Green Territory Transformation” is being implemented with the support of the </w:t>
      </w:r>
      <w:proofErr w:type="spellStart"/>
      <w:r w:rsidRPr="00F20359">
        <w:rPr>
          <w:sz w:val="28"/>
          <w:szCs w:val="28"/>
        </w:rPr>
        <w:t>Skolkovo</w:t>
      </w:r>
      <w:proofErr w:type="spellEnd"/>
      <w:r w:rsidRPr="00F20359">
        <w:rPr>
          <w:sz w:val="28"/>
          <w:szCs w:val="28"/>
        </w:rPr>
        <w:t xml:space="preserve"> Innovation Center. As part of the </w:t>
      </w:r>
      <w:proofErr w:type="spellStart"/>
      <w:r w:rsidRPr="00F20359">
        <w:rPr>
          <w:sz w:val="28"/>
          <w:szCs w:val="28"/>
        </w:rPr>
        <w:t>Skolkovo</w:t>
      </w:r>
      <w:proofErr w:type="spellEnd"/>
      <w:r w:rsidRPr="00F20359">
        <w:rPr>
          <w:sz w:val="28"/>
          <w:szCs w:val="28"/>
        </w:rPr>
        <w:t xml:space="preserve"> strategic sessions, scientists are developing a system that will allow managing green processes.</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xml:space="preserve">Olga </w:t>
      </w:r>
      <w:proofErr w:type="spellStart"/>
      <w:r w:rsidRPr="00F20359">
        <w:rPr>
          <w:sz w:val="28"/>
          <w:szCs w:val="28"/>
        </w:rPr>
        <w:t>Zakharova</w:t>
      </w:r>
      <w:proofErr w:type="spellEnd"/>
      <w:r w:rsidRPr="00F20359">
        <w:rPr>
          <w:sz w:val="28"/>
          <w:szCs w:val="28"/>
        </w:rPr>
        <w:t xml:space="preserve"> named the program of non-formal environmental education jointly with the Fund for the Development of Indigenous Peoples of the North, Siberia and the Far East as the most successful subproject. The subproject is funded by the Native Towns grant of the Gazprom </w:t>
      </w:r>
      <w:proofErr w:type="spellStart"/>
      <w:r w:rsidRPr="00F20359">
        <w:rPr>
          <w:sz w:val="28"/>
          <w:szCs w:val="28"/>
        </w:rPr>
        <w:t>Neft</w:t>
      </w:r>
      <w:proofErr w:type="spellEnd"/>
      <w:r w:rsidRPr="00F20359">
        <w:rPr>
          <w:sz w:val="28"/>
          <w:szCs w:val="28"/>
        </w:rPr>
        <w:t xml:space="preserve"> </w:t>
      </w:r>
      <w:proofErr w:type="gramStart"/>
      <w:r w:rsidRPr="00F20359">
        <w:rPr>
          <w:sz w:val="28"/>
          <w:szCs w:val="28"/>
        </w:rPr>
        <w:t>company</w:t>
      </w:r>
      <w:proofErr w:type="gramEnd"/>
      <w:r w:rsidRPr="00F20359">
        <w:rPr>
          <w:sz w:val="28"/>
          <w:szCs w:val="28"/>
        </w:rPr>
        <w:t>, a grant from the President of Russia.</w:t>
      </w:r>
    </w:p>
    <w:p w:rsidR="00F20359" w:rsidRPr="00F20359" w:rsidRDefault="00F20359" w:rsidP="00F20359">
      <w:pPr>
        <w:rPr>
          <w:sz w:val="28"/>
          <w:szCs w:val="28"/>
        </w:rPr>
      </w:pPr>
    </w:p>
    <w:p w:rsidR="00F20359" w:rsidRPr="00F20359" w:rsidRDefault="00F20359" w:rsidP="00F20359">
      <w:pPr>
        <w:rPr>
          <w:sz w:val="28"/>
          <w:szCs w:val="28"/>
        </w:rPr>
      </w:pPr>
      <w:r w:rsidRPr="00F20359">
        <w:rPr>
          <w:sz w:val="28"/>
          <w:szCs w:val="28"/>
        </w:rPr>
        <w:t xml:space="preserve">- The project team is interdisciplinary, in research work there is a place for ecologists, lawyers, sociologists, mathematicians, </w:t>
      </w:r>
    </w:p>
    <w:p w:rsidR="00927E16" w:rsidRPr="00F20359" w:rsidRDefault="00927E16" w:rsidP="00F20359">
      <w:pPr>
        <w:rPr>
          <w:sz w:val="28"/>
          <w:szCs w:val="28"/>
        </w:rPr>
      </w:pPr>
    </w:p>
    <w:sectPr w:rsidR="00927E16" w:rsidRPr="00F20359" w:rsidSect="0065117A">
      <w:pgSz w:w="12240" w:h="15840"/>
      <w:pgMar w:top="720" w:right="2448" w:bottom="8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59"/>
    <w:rsid w:val="005F6BE1"/>
    <w:rsid w:val="0065117A"/>
    <w:rsid w:val="00927E16"/>
    <w:rsid w:val="00F20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26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4266</Characters>
  <Application>Microsoft Macintosh Word</Application>
  <DocSecurity>0</DocSecurity>
  <Lines>35</Lines>
  <Paragraphs>10</Paragraphs>
  <ScaleCrop>false</ScaleCrop>
  <Company>USRCC</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U.S.-Russia Chamber of Commerce</dc:creator>
  <cp:keywords/>
  <dc:description/>
  <cp:lastModifiedBy>U.S.-Russia Chamber of Commerce</cp:lastModifiedBy>
  <cp:revision>1</cp:revision>
  <dcterms:created xsi:type="dcterms:W3CDTF">2021-08-12T14:33:00Z</dcterms:created>
  <dcterms:modified xsi:type="dcterms:W3CDTF">2021-08-12T14:34:00Z</dcterms:modified>
</cp:coreProperties>
</file>