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F0" w:rsidRDefault="00B46BF0" w:rsidP="00B46BF0">
      <w:pPr>
        <w:spacing w:line="240" w:lineRule="auto"/>
        <w:contextualSpacing/>
        <w:jc w:val="center"/>
        <w:rPr>
          <w:rFonts w:ascii="Arial" w:hAnsi="Arial" w:cs="Arial"/>
          <w:b/>
          <w:sz w:val="24"/>
          <w:szCs w:val="24"/>
        </w:rPr>
      </w:pPr>
      <w:r>
        <w:rPr>
          <w:rFonts w:ascii="Arial" w:hAnsi="Arial" w:cs="Arial"/>
          <w:b/>
          <w:noProof/>
          <w:sz w:val="24"/>
          <w:szCs w:val="24"/>
        </w:rPr>
        <w:drawing>
          <wp:inline distT="0" distB="0" distL="0" distR="0">
            <wp:extent cx="22479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RC2.jpg"/>
                    <pic:cNvPicPr/>
                  </pic:nvPicPr>
                  <pic:blipFill>
                    <a:blip r:embed="rId5">
                      <a:extLst>
                        <a:ext uri="{28A0092B-C50C-407E-A947-70E740481C1C}">
                          <a14:useLocalDpi xmlns:a14="http://schemas.microsoft.com/office/drawing/2010/main" val="0"/>
                        </a:ext>
                      </a:extLst>
                    </a:blip>
                    <a:stretch>
                      <a:fillRect/>
                    </a:stretch>
                  </pic:blipFill>
                  <pic:spPr>
                    <a:xfrm>
                      <a:off x="0" y="0"/>
                      <a:ext cx="2247900" cy="714375"/>
                    </a:xfrm>
                    <a:prstGeom prst="rect">
                      <a:avLst/>
                    </a:prstGeom>
                  </pic:spPr>
                </pic:pic>
              </a:graphicData>
            </a:graphic>
          </wp:inline>
        </w:drawing>
      </w:r>
    </w:p>
    <w:p w:rsidR="00E03F24" w:rsidRPr="00B46BF0" w:rsidRDefault="00B46BF0" w:rsidP="00B46BF0">
      <w:pPr>
        <w:spacing w:line="240" w:lineRule="auto"/>
        <w:contextualSpacing/>
        <w:jc w:val="center"/>
        <w:rPr>
          <w:rFonts w:ascii="Arial" w:hAnsi="Arial" w:cs="Arial"/>
          <w:b/>
          <w:sz w:val="24"/>
          <w:szCs w:val="24"/>
        </w:rPr>
      </w:pPr>
      <w:r w:rsidRPr="00B46BF0">
        <w:rPr>
          <w:rFonts w:ascii="Arial" w:hAnsi="Arial" w:cs="Arial"/>
          <w:b/>
          <w:sz w:val="24"/>
          <w:szCs w:val="24"/>
        </w:rPr>
        <w:t>Self-Determination</w:t>
      </w:r>
    </w:p>
    <w:p w:rsidR="00B46BF0" w:rsidRDefault="00B46BF0" w:rsidP="00B46BF0">
      <w:pPr>
        <w:spacing w:line="240" w:lineRule="auto"/>
        <w:contextualSpacing/>
        <w:jc w:val="center"/>
        <w:rPr>
          <w:rFonts w:ascii="Arial" w:hAnsi="Arial" w:cs="Arial"/>
          <w:b/>
          <w:sz w:val="24"/>
          <w:szCs w:val="24"/>
        </w:rPr>
      </w:pPr>
      <w:r w:rsidRPr="00B46BF0">
        <w:rPr>
          <w:rFonts w:ascii="Arial" w:hAnsi="Arial" w:cs="Arial"/>
          <w:b/>
          <w:sz w:val="24"/>
          <w:szCs w:val="24"/>
        </w:rPr>
        <w:t>Some facts</w:t>
      </w:r>
      <w:r w:rsidRPr="00B46BF0">
        <w:rPr>
          <w:rFonts w:ascii="Arial" w:hAnsi="Arial" w:cs="Arial"/>
          <w:b/>
          <w:sz w:val="24"/>
          <w:szCs w:val="24"/>
        </w:rPr>
        <w:t xml:space="preserve"> on a sheet of paper (AKA Fact Sheet)</w:t>
      </w:r>
      <w:r w:rsidRPr="00B46BF0">
        <w:rPr>
          <w:rFonts w:ascii="Arial" w:hAnsi="Arial" w:cs="Arial"/>
          <w:b/>
          <w:sz w:val="24"/>
          <w:szCs w:val="24"/>
        </w:rPr>
        <w:t>:</w:t>
      </w:r>
    </w:p>
    <w:p w:rsidR="00B46BF0" w:rsidRPr="00B46BF0" w:rsidRDefault="00B46BF0" w:rsidP="00B46BF0">
      <w:pPr>
        <w:spacing w:line="240" w:lineRule="auto"/>
        <w:contextualSpacing/>
        <w:jc w:val="center"/>
        <w:rPr>
          <w:rFonts w:ascii="Arial" w:hAnsi="Arial" w:cs="Arial"/>
          <w:b/>
          <w:sz w:val="24"/>
          <w:szCs w:val="24"/>
        </w:rPr>
      </w:pP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It’s a 3 year pilot program</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It will serve 2500 initially</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After the 3 years everyone is eligible</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DDS can ask legislature to increase the number</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Participants determined by relative % in regional center</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The Independent Facilitator and FMS – The participant pays for these out of their budget</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The independent facilitator basically does the work performed now by the service coordinator, resource development.</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Only service categories under the waiver can be paid for.</w:t>
      </w:r>
    </w:p>
    <w:p w:rsidR="00B46BF0" w:rsidRDefault="00B46BF0" w:rsidP="00B46BF0">
      <w:pPr>
        <w:spacing w:line="240" w:lineRule="auto"/>
        <w:contextualSpacing/>
        <w:rPr>
          <w:rFonts w:ascii="Arial" w:hAnsi="Arial" w:cs="Arial"/>
          <w:b/>
          <w:sz w:val="24"/>
          <w:szCs w:val="24"/>
        </w:rPr>
      </w:pPr>
    </w:p>
    <w:p w:rsidR="00B46BF0" w:rsidRPr="00B46BF0" w:rsidRDefault="00B46BF0" w:rsidP="00B46BF0">
      <w:pPr>
        <w:spacing w:line="240" w:lineRule="auto"/>
        <w:contextualSpacing/>
        <w:rPr>
          <w:rFonts w:ascii="Arial" w:hAnsi="Arial" w:cs="Arial"/>
          <w:b/>
          <w:sz w:val="24"/>
          <w:szCs w:val="24"/>
        </w:rPr>
      </w:pPr>
      <w:r w:rsidRPr="00B46BF0">
        <w:rPr>
          <w:rFonts w:ascii="Arial" w:hAnsi="Arial" w:cs="Arial"/>
          <w:b/>
          <w:sz w:val="24"/>
          <w:szCs w:val="24"/>
        </w:rPr>
        <w:t>In order to participate you must agree to:</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Attend an orientation</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Must access generic services</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Only use services meant to achieve IPP goals</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Stay within your budget</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Must use an FMS</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Must use either Independent Facilitator or Service Coordinator</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Must be eligible for regional center services</w:t>
      </w:r>
    </w:p>
    <w:p w:rsidR="00B46BF0" w:rsidRPr="00B46BF0" w:rsidRDefault="00B46BF0" w:rsidP="00B46BF0">
      <w:pPr>
        <w:pStyle w:val="ListParagraph"/>
        <w:numPr>
          <w:ilvl w:val="0"/>
          <w:numId w:val="1"/>
        </w:numPr>
        <w:contextualSpacing/>
        <w:rPr>
          <w:rFonts w:ascii="Arial" w:hAnsi="Arial" w:cs="Arial"/>
          <w:sz w:val="24"/>
          <w:szCs w:val="24"/>
        </w:rPr>
      </w:pPr>
      <w:r w:rsidRPr="00B46BF0">
        <w:rPr>
          <w:rFonts w:ascii="Arial" w:hAnsi="Arial" w:cs="Arial"/>
          <w:sz w:val="24"/>
          <w:szCs w:val="24"/>
        </w:rPr>
        <w:t>If you opt out there must be a transition plan and new IPP</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Regional Center to receive additional funds for enhanced cost load ratios, training, Person-Centered Planning, developing budgets etc.</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If you leave the program you can come back after 12 months</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If you transfer regional centers you can maintain SDP.</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Cost control prohibition against camp, social rec, respite caps don’t apply if you’re on the SDP.</w:t>
      </w:r>
    </w:p>
    <w:p w:rsidR="00B46BF0" w:rsidRDefault="00B46BF0" w:rsidP="00B46BF0">
      <w:pPr>
        <w:spacing w:line="240" w:lineRule="auto"/>
        <w:contextualSpacing/>
        <w:rPr>
          <w:rFonts w:ascii="Arial" w:hAnsi="Arial" w:cs="Arial"/>
          <w:b/>
          <w:sz w:val="24"/>
          <w:szCs w:val="24"/>
        </w:rPr>
      </w:pPr>
    </w:p>
    <w:p w:rsidR="00B46BF0" w:rsidRPr="00B46BF0" w:rsidRDefault="00B46BF0" w:rsidP="00B46BF0">
      <w:pPr>
        <w:spacing w:line="240" w:lineRule="auto"/>
        <w:contextualSpacing/>
        <w:rPr>
          <w:rFonts w:ascii="Arial" w:hAnsi="Arial" w:cs="Arial"/>
          <w:b/>
          <w:sz w:val="24"/>
          <w:szCs w:val="24"/>
        </w:rPr>
      </w:pPr>
      <w:r w:rsidRPr="00B46BF0">
        <w:rPr>
          <w:rFonts w:ascii="Arial" w:hAnsi="Arial" w:cs="Arial"/>
          <w:b/>
          <w:sz w:val="24"/>
          <w:szCs w:val="24"/>
        </w:rPr>
        <w:t>Determining the Budget</w:t>
      </w:r>
    </w:p>
    <w:p w:rsidR="00B46BF0" w:rsidRPr="00B46BF0" w:rsidRDefault="00B46BF0" w:rsidP="00B46BF0">
      <w:pPr>
        <w:pStyle w:val="ListParagraph"/>
        <w:numPr>
          <w:ilvl w:val="0"/>
          <w:numId w:val="2"/>
        </w:numPr>
        <w:contextualSpacing/>
        <w:rPr>
          <w:rFonts w:ascii="Arial" w:hAnsi="Arial" w:cs="Arial"/>
          <w:sz w:val="24"/>
          <w:szCs w:val="24"/>
        </w:rPr>
      </w:pPr>
      <w:r w:rsidRPr="00B46BF0">
        <w:rPr>
          <w:rFonts w:ascii="Arial" w:hAnsi="Arial" w:cs="Arial"/>
          <w:sz w:val="24"/>
          <w:szCs w:val="24"/>
        </w:rPr>
        <w:t>Budget is determined by looking back at your historic expenditures over the past year.</w:t>
      </w:r>
    </w:p>
    <w:p w:rsidR="00B46BF0" w:rsidRPr="00B46BF0" w:rsidRDefault="00B46BF0" w:rsidP="00B46BF0">
      <w:pPr>
        <w:pStyle w:val="ListParagraph"/>
        <w:numPr>
          <w:ilvl w:val="0"/>
          <w:numId w:val="2"/>
        </w:numPr>
        <w:contextualSpacing/>
        <w:rPr>
          <w:rFonts w:ascii="Arial" w:hAnsi="Arial" w:cs="Arial"/>
          <w:sz w:val="24"/>
          <w:szCs w:val="24"/>
        </w:rPr>
      </w:pPr>
      <w:r w:rsidRPr="00B46BF0">
        <w:rPr>
          <w:rFonts w:ascii="Arial" w:hAnsi="Arial" w:cs="Arial"/>
          <w:sz w:val="24"/>
          <w:szCs w:val="24"/>
        </w:rPr>
        <w:t>Budget adjustments can be made if life circumstances change.</w:t>
      </w:r>
    </w:p>
    <w:p w:rsidR="00B46BF0" w:rsidRPr="00B46BF0" w:rsidRDefault="00B46BF0" w:rsidP="00B46BF0">
      <w:pPr>
        <w:pStyle w:val="ListParagraph"/>
        <w:numPr>
          <w:ilvl w:val="0"/>
          <w:numId w:val="2"/>
        </w:numPr>
        <w:contextualSpacing/>
        <w:rPr>
          <w:rFonts w:ascii="Arial" w:hAnsi="Arial" w:cs="Arial"/>
          <w:sz w:val="24"/>
          <w:szCs w:val="24"/>
        </w:rPr>
      </w:pPr>
      <w:r w:rsidRPr="00B46BF0">
        <w:rPr>
          <w:rFonts w:ascii="Arial" w:hAnsi="Arial" w:cs="Arial"/>
          <w:sz w:val="24"/>
          <w:szCs w:val="24"/>
        </w:rPr>
        <w:t>If there is no history the team determines what services are currently needed and what the average cost of those services are.</w:t>
      </w:r>
    </w:p>
    <w:p w:rsidR="00B46BF0" w:rsidRPr="00B46BF0" w:rsidRDefault="00B46BF0" w:rsidP="00B46BF0">
      <w:pPr>
        <w:pStyle w:val="ListParagraph"/>
        <w:numPr>
          <w:ilvl w:val="0"/>
          <w:numId w:val="2"/>
        </w:numPr>
        <w:contextualSpacing/>
        <w:rPr>
          <w:rFonts w:ascii="Arial" w:hAnsi="Arial" w:cs="Arial"/>
          <w:sz w:val="24"/>
          <w:szCs w:val="24"/>
        </w:rPr>
      </w:pPr>
      <w:r w:rsidRPr="00B46BF0">
        <w:rPr>
          <w:rFonts w:ascii="Arial" w:hAnsi="Arial" w:cs="Arial"/>
          <w:sz w:val="24"/>
          <w:szCs w:val="24"/>
        </w:rPr>
        <w:t>Budget calculated no more than once a year.</w:t>
      </w:r>
    </w:p>
    <w:p w:rsidR="00B46BF0" w:rsidRPr="00B46BF0" w:rsidRDefault="00B46BF0" w:rsidP="00B46BF0">
      <w:pPr>
        <w:pStyle w:val="ListParagraph"/>
        <w:numPr>
          <w:ilvl w:val="0"/>
          <w:numId w:val="2"/>
        </w:numPr>
        <w:contextualSpacing/>
        <w:rPr>
          <w:rFonts w:ascii="Arial" w:hAnsi="Arial" w:cs="Arial"/>
          <w:sz w:val="24"/>
          <w:szCs w:val="24"/>
        </w:rPr>
      </w:pPr>
      <w:r w:rsidRPr="00B46BF0">
        <w:rPr>
          <w:rFonts w:ascii="Arial" w:hAnsi="Arial" w:cs="Arial"/>
          <w:sz w:val="24"/>
          <w:szCs w:val="24"/>
        </w:rPr>
        <w:t>The department may create a new budget methodology with stakeholders</w:t>
      </w:r>
    </w:p>
    <w:p w:rsidR="00B46BF0" w:rsidRPr="00B46BF0" w:rsidRDefault="00B46BF0" w:rsidP="00B46BF0">
      <w:pPr>
        <w:pStyle w:val="ListParagraph"/>
        <w:numPr>
          <w:ilvl w:val="0"/>
          <w:numId w:val="2"/>
        </w:numPr>
        <w:contextualSpacing/>
        <w:rPr>
          <w:rFonts w:ascii="Arial" w:hAnsi="Arial" w:cs="Arial"/>
          <w:sz w:val="24"/>
          <w:szCs w:val="24"/>
        </w:rPr>
      </w:pPr>
      <w:r w:rsidRPr="00B46BF0">
        <w:rPr>
          <w:rFonts w:ascii="Arial" w:hAnsi="Arial" w:cs="Arial"/>
          <w:sz w:val="24"/>
          <w:szCs w:val="24"/>
        </w:rPr>
        <w:t xml:space="preserve">You can move 10% of budget from one category to the next.  </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Once CMS approves the plan it can go forward</w:t>
      </w:r>
    </w:p>
    <w:p w:rsidR="00B46BF0" w:rsidRDefault="00B46BF0" w:rsidP="00B46BF0">
      <w:pPr>
        <w:spacing w:line="240" w:lineRule="auto"/>
        <w:contextualSpacing/>
        <w:rPr>
          <w:rFonts w:ascii="Arial" w:hAnsi="Arial" w:cs="Arial"/>
          <w:b/>
          <w:sz w:val="24"/>
          <w:szCs w:val="24"/>
        </w:rPr>
      </w:pPr>
    </w:p>
    <w:p w:rsidR="00B46BF0" w:rsidRPr="00B46BF0" w:rsidRDefault="00B46BF0" w:rsidP="00B46BF0">
      <w:pPr>
        <w:spacing w:line="240" w:lineRule="auto"/>
        <w:contextualSpacing/>
        <w:rPr>
          <w:rFonts w:ascii="Arial" w:hAnsi="Arial" w:cs="Arial"/>
          <w:b/>
          <w:sz w:val="24"/>
          <w:szCs w:val="24"/>
        </w:rPr>
      </w:pPr>
      <w:r w:rsidRPr="00B46BF0">
        <w:rPr>
          <w:rFonts w:ascii="Arial" w:hAnsi="Arial" w:cs="Arial"/>
          <w:b/>
          <w:sz w:val="24"/>
          <w:szCs w:val="24"/>
        </w:rPr>
        <w:lastRenderedPageBreak/>
        <w:t>Regional Centers shall implement SDP</w:t>
      </w:r>
    </w:p>
    <w:p w:rsidR="00B46BF0" w:rsidRPr="00B46BF0" w:rsidRDefault="00B46BF0" w:rsidP="00B46BF0">
      <w:pPr>
        <w:pStyle w:val="ListParagraph"/>
        <w:numPr>
          <w:ilvl w:val="0"/>
          <w:numId w:val="3"/>
        </w:numPr>
        <w:contextualSpacing/>
        <w:rPr>
          <w:rFonts w:ascii="Arial" w:hAnsi="Arial" w:cs="Arial"/>
          <w:sz w:val="24"/>
          <w:szCs w:val="24"/>
        </w:rPr>
      </w:pPr>
      <w:r w:rsidRPr="00B46BF0">
        <w:rPr>
          <w:rFonts w:ascii="Arial" w:hAnsi="Arial" w:cs="Arial"/>
          <w:sz w:val="24"/>
          <w:szCs w:val="24"/>
        </w:rPr>
        <w:t>Shall contract with local consumer or family–run organizations and consult with the local volunteer advisory committee established pursuant to paragraph (1) of subdivision (x) to conduct outreach</w:t>
      </w:r>
    </w:p>
    <w:p w:rsidR="00B46BF0" w:rsidRPr="00B46BF0" w:rsidRDefault="00B46BF0" w:rsidP="00B46BF0">
      <w:pPr>
        <w:pStyle w:val="ListParagraph"/>
        <w:numPr>
          <w:ilvl w:val="0"/>
          <w:numId w:val="3"/>
        </w:numPr>
        <w:contextualSpacing/>
        <w:rPr>
          <w:rFonts w:ascii="Arial" w:hAnsi="Arial" w:cs="Arial"/>
          <w:sz w:val="24"/>
          <w:szCs w:val="24"/>
        </w:rPr>
      </w:pPr>
      <w:r w:rsidRPr="00B46BF0">
        <w:rPr>
          <w:rFonts w:ascii="Arial" w:hAnsi="Arial" w:cs="Arial"/>
          <w:sz w:val="24"/>
          <w:szCs w:val="24"/>
        </w:rPr>
        <w:t>Provide</w:t>
      </w:r>
      <w:r w:rsidRPr="00B46BF0">
        <w:rPr>
          <w:rFonts w:ascii="Arial" w:hAnsi="Arial" w:cs="Arial"/>
          <w:sz w:val="24"/>
          <w:szCs w:val="24"/>
        </w:rPr>
        <w:t xml:space="preserve"> information about the Self–Determination Program and to help ensure that the program is available to a diverse group of participants, with special outreach to underserved communities. </w:t>
      </w:r>
    </w:p>
    <w:p w:rsidR="00B46BF0" w:rsidRPr="00B46BF0" w:rsidRDefault="00B46BF0" w:rsidP="00B46BF0">
      <w:pPr>
        <w:pStyle w:val="ListParagraph"/>
        <w:numPr>
          <w:ilvl w:val="0"/>
          <w:numId w:val="3"/>
        </w:numPr>
        <w:contextualSpacing/>
        <w:rPr>
          <w:rFonts w:ascii="Arial" w:hAnsi="Arial" w:cs="Arial"/>
          <w:sz w:val="24"/>
          <w:szCs w:val="24"/>
        </w:rPr>
      </w:pPr>
      <w:r w:rsidRPr="00B46BF0">
        <w:rPr>
          <w:rFonts w:ascii="Arial" w:hAnsi="Arial" w:cs="Arial"/>
          <w:sz w:val="24"/>
          <w:szCs w:val="24"/>
        </w:rPr>
        <w:t xml:space="preserve">Collaborate with the local consumer or family–run organizations to jointly conduct training about the Self–Determination Program. </w:t>
      </w:r>
    </w:p>
    <w:p w:rsidR="00B46BF0" w:rsidRPr="00B46BF0" w:rsidRDefault="00B46BF0" w:rsidP="00B46BF0">
      <w:pPr>
        <w:pStyle w:val="ListParagraph"/>
        <w:numPr>
          <w:ilvl w:val="0"/>
          <w:numId w:val="3"/>
        </w:numPr>
        <w:contextualSpacing/>
        <w:rPr>
          <w:rFonts w:ascii="Arial" w:hAnsi="Arial" w:cs="Arial"/>
          <w:sz w:val="24"/>
          <w:szCs w:val="24"/>
        </w:rPr>
      </w:pPr>
      <w:r w:rsidRPr="00B46BF0">
        <w:rPr>
          <w:rFonts w:ascii="Arial" w:hAnsi="Arial" w:cs="Arial"/>
          <w:sz w:val="24"/>
          <w:szCs w:val="24"/>
        </w:rPr>
        <w:t>The regional center shall consult with the local volunteer advisory committee in planning for the training, and the local volunteer advisory committee may designate members to represent the advisory committee at the training.</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The FMS will provide regular reports to the participant and the regional center</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The FMS is the only vender in this program</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Background check</w:t>
      </w:r>
      <w:bookmarkStart w:id="0" w:name="_GoBack"/>
      <w:bookmarkEnd w:id="0"/>
      <w:r w:rsidRPr="00B46BF0">
        <w:rPr>
          <w:rFonts w:ascii="Arial" w:hAnsi="Arial" w:cs="Arial"/>
          <w:sz w:val="24"/>
          <w:szCs w:val="24"/>
        </w:rPr>
        <w:t>s for people who provide personal care services, electron finger print system and DDS will process and determine eligibility of the workers back ground clearance  (the participant may appeal some findings)</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The finger printing is paid for by the worker or their employer.</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Clearance is transferable for a provider serving more than one person</w:t>
      </w:r>
    </w:p>
    <w:p w:rsidR="00B46BF0" w:rsidRDefault="00B46BF0" w:rsidP="00B46BF0">
      <w:pPr>
        <w:spacing w:line="240" w:lineRule="auto"/>
        <w:contextualSpacing/>
        <w:rPr>
          <w:rFonts w:ascii="Arial" w:hAnsi="Arial" w:cs="Arial"/>
          <w:b/>
          <w:sz w:val="24"/>
          <w:szCs w:val="24"/>
        </w:rPr>
      </w:pPr>
    </w:p>
    <w:p w:rsidR="00B46BF0" w:rsidRPr="00B46BF0" w:rsidRDefault="00B46BF0" w:rsidP="00B46BF0">
      <w:pPr>
        <w:spacing w:line="240" w:lineRule="auto"/>
        <w:contextualSpacing/>
        <w:rPr>
          <w:rFonts w:ascii="Arial" w:hAnsi="Arial" w:cs="Arial"/>
          <w:b/>
          <w:sz w:val="24"/>
          <w:szCs w:val="24"/>
        </w:rPr>
      </w:pPr>
      <w:r w:rsidRPr="00B46BF0">
        <w:rPr>
          <w:rFonts w:ascii="Arial" w:hAnsi="Arial" w:cs="Arial"/>
          <w:b/>
          <w:sz w:val="24"/>
          <w:szCs w:val="24"/>
        </w:rPr>
        <w:t>Local SDP Advisory committee:</w:t>
      </w:r>
    </w:p>
    <w:p w:rsidR="00B46BF0" w:rsidRPr="00B46BF0" w:rsidRDefault="00B46BF0" w:rsidP="00B46BF0">
      <w:pPr>
        <w:pStyle w:val="ListParagraph"/>
        <w:numPr>
          <w:ilvl w:val="0"/>
          <w:numId w:val="4"/>
        </w:numPr>
        <w:contextualSpacing/>
        <w:rPr>
          <w:rFonts w:ascii="Arial" w:hAnsi="Arial" w:cs="Arial"/>
          <w:sz w:val="24"/>
          <w:szCs w:val="24"/>
        </w:rPr>
      </w:pPr>
      <w:r w:rsidRPr="00B46BF0">
        <w:rPr>
          <w:rFonts w:ascii="Arial" w:hAnsi="Arial" w:cs="Arial"/>
          <w:sz w:val="24"/>
          <w:szCs w:val="24"/>
        </w:rPr>
        <w:t>½ appointed by VMRC</w:t>
      </w:r>
    </w:p>
    <w:p w:rsidR="00B46BF0" w:rsidRPr="00B46BF0" w:rsidRDefault="00B46BF0" w:rsidP="00B46BF0">
      <w:pPr>
        <w:pStyle w:val="ListParagraph"/>
        <w:numPr>
          <w:ilvl w:val="0"/>
          <w:numId w:val="4"/>
        </w:numPr>
        <w:contextualSpacing/>
        <w:rPr>
          <w:rFonts w:ascii="Arial" w:hAnsi="Arial" w:cs="Arial"/>
          <w:sz w:val="24"/>
          <w:szCs w:val="24"/>
        </w:rPr>
      </w:pPr>
      <w:r w:rsidRPr="00B46BF0">
        <w:rPr>
          <w:rFonts w:ascii="Arial" w:hAnsi="Arial" w:cs="Arial"/>
          <w:sz w:val="24"/>
          <w:szCs w:val="24"/>
        </w:rPr>
        <w:t>½ Ap</w:t>
      </w:r>
      <w:r w:rsidR="008E48B5">
        <w:rPr>
          <w:rFonts w:ascii="Arial" w:hAnsi="Arial" w:cs="Arial"/>
          <w:sz w:val="24"/>
          <w:szCs w:val="24"/>
        </w:rPr>
        <w:t>pointed by N</w:t>
      </w:r>
      <w:r w:rsidRPr="00B46BF0">
        <w:rPr>
          <w:rFonts w:ascii="Arial" w:hAnsi="Arial" w:cs="Arial"/>
          <w:sz w:val="24"/>
          <w:szCs w:val="24"/>
        </w:rPr>
        <w:t>orth Valley Hills</w:t>
      </w:r>
    </w:p>
    <w:p w:rsidR="00B46BF0" w:rsidRPr="00B46BF0" w:rsidRDefault="00B46BF0" w:rsidP="00B46BF0">
      <w:pPr>
        <w:pStyle w:val="ListParagraph"/>
        <w:numPr>
          <w:ilvl w:val="0"/>
          <w:numId w:val="4"/>
        </w:numPr>
        <w:contextualSpacing/>
        <w:rPr>
          <w:rFonts w:ascii="Arial" w:hAnsi="Arial" w:cs="Arial"/>
          <w:sz w:val="24"/>
          <w:szCs w:val="24"/>
        </w:rPr>
      </w:pPr>
      <w:r w:rsidRPr="00B46BF0">
        <w:rPr>
          <w:rFonts w:ascii="Arial" w:hAnsi="Arial" w:cs="Arial"/>
          <w:sz w:val="24"/>
          <w:szCs w:val="24"/>
        </w:rPr>
        <w:t>Clients Rights Advocate</w:t>
      </w:r>
    </w:p>
    <w:p w:rsidR="00B46BF0" w:rsidRPr="00B46BF0" w:rsidRDefault="00B46BF0" w:rsidP="00B46BF0">
      <w:pPr>
        <w:pStyle w:val="ListParagraph"/>
        <w:numPr>
          <w:ilvl w:val="0"/>
          <w:numId w:val="4"/>
        </w:numPr>
        <w:contextualSpacing/>
        <w:rPr>
          <w:rFonts w:ascii="Arial" w:hAnsi="Arial" w:cs="Arial"/>
          <w:sz w:val="24"/>
          <w:szCs w:val="24"/>
        </w:rPr>
      </w:pPr>
      <w:r w:rsidRPr="00B46BF0">
        <w:rPr>
          <w:rFonts w:ascii="Arial" w:hAnsi="Arial" w:cs="Arial"/>
          <w:sz w:val="24"/>
          <w:szCs w:val="24"/>
        </w:rPr>
        <w:t>Consumers, family members, other advocates and community leaders.</w:t>
      </w:r>
    </w:p>
    <w:p w:rsidR="00B46BF0" w:rsidRPr="00B46BF0" w:rsidRDefault="00B46BF0" w:rsidP="00B46BF0">
      <w:pPr>
        <w:pStyle w:val="ListParagraph"/>
        <w:numPr>
          <w:ilvl w:val="0"/>
          <w:numId w:val="4"/>
        </w:numPr>
        <w:contextualSpacing/>
        <w:rPr>
          <w:rFonts w:ascii="Arial" w:hAnsi="Arial" w:cs="Arial"/>
          <w:sz w:val="24"/>
          <w:szCs w:val="24"/>
        </w:rPr>
      </w:pPr>
      <w:r w:rsidRPr="00B46BF0">
        <w:rPr>
          <w:rFonts w:ascii="Arial" w:hAnsi="Arial" w:cs="Arial"/>
          <w:sz w:val="24"/>
          <w:szCs w:val="24"/>
        </w:rPr>
        <w:t>Shall be multicultural and geographically diverse.</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Statewide Advisory Committee:</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Meets at least twice a year.</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21 representative members from Local Advisories</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Studies and recommends best practices, family trainings, Implementation problems, Systemic issues, capacity, and the dissemination of information.</w:t>
      </w:r>
    </w:p>
    <w:p w:rsidR="00B46BF0" w:rsidRDefault="00B46BF0" w:rsidP="00B46BF0">
      <w:pPr>
        <w:spacing w:line="240" w:lineRule="auto"/>
        <w:contextualSpacing/>
        <w:rPr>
          <w:rFonts w:ascii="Arial" w:hAnsi="Arial" w:cs="Arial"/>
          <w:b/>
          <w:sz w:val="24"/>
          <w:szCs w:val="24"/>
        </w:rPr>
      </w:pPr>
    </w:p>
    <w:p w:rsidR="00B46BF0" w:rsidRPr="00B46BF0" w:rsidRDefault="00B46BF0" w:rsidP="00B46BF0">
      <w:pPr>
        <w:spacing w:line="240" w:lineRule="auto"/>
        <w:contextualSpacing/>
        <w:rPr>
          <w:rFonts w:ascii="Arial" w:hAnsi="Arial" w:cs="Arial"/>
          <w:b/>
          <w:sz w:val="24"/>
          <w:szCs w:val="24"/>
        </w:rPr>
      </w:pPr>
      <w:r w:rsidRPr="00B46BF0">
        <w:rPr>
          <w:rFonts w:ascii="Arial" w:hAnsi="Arial" w:cs="Arial"/>
          <w:b/>
          <w:sz w:val="24"/>
          <w:szCs w:val="24"/>
        </w:rPr>
        <w:t>Annual DDS Reporting to the legislature:</w:t>
      </w:r>
    </w:p>
    <w:p w:rsidR="00B46BF0" w:rsidRPr="00B46BF0" w:rsidRDefault="00B46BF0" w:rsidP="00B46BF0">
      <w:pPr>
        <w:pStyle w:val="ListParagraph"/>
        <w:numPr>
          <w:ilvl w:val="0"/>
          <w:numId w:val="5"/>
        </w:numPr>
        <w:contextualSpacing/>
        <w:rPr>
          <w:rFonts w:ascii="Arial" w:hAnsi="Arial" w:cs="Arial"/>
          <w:sz w:val="24"/>
          <w:szCs w:val="24"/>
        </w:rPr>
      </w:pPr>
      <w:r w:rsidRPr="00B46BF0">
        <w:rPr>
          <w:rFonts w:ascii="Arial" w:hAnsi="Arial" w:cs="Arial"/>
          <w:sz w:val="24"/>
          <w:szCs w:val="24"/>
        </w:rPr>
        <w:t>Demographics of participants</w:t>
      </w:r>
    </w:p>
    <w:p w:rsidR="00B46BF0" w:rsidRPr="00B46BF0" w:rsidRDefault="00B46BF0" w:rsidP="00B46BF0">
      <w:pPr>
        <w:pStyle w:val="ListParagraph"/>
        <w:numPr>
          <w:ilvl w:val="0"/>
          <w:numId w:val="5"/>
        </w:numPr>
        <w:contextualSpacing/>
        <w:rPr>
          <w:rFonts w:ascii="Arial" w:hAnsi="Arial" w:cs="Arial"/>
          <w:sz w:val="24"/>
          <w:szCs w:val="24"/>
        </w:rPr>
      </w:pPr>
      <w:r w:rsidRPr="00B46BF0">
        <w:rPr>
          <w:rFonts w:ascii="Arial" w:hAnsi="Arial" w:cs="Arial"/>
          <w:sz w:val="24"/>
          <w:szCs w:val="24"/>
        </w:rPr>
        <w:t>Amounts and types of services used</w:t>
      </w:r>
    </w:p>
    <w:p w:rsidR="00B46BF0" w:rsidRPr="00B46BF0" w:rsidRDefault="00B46BF0" w:rsidP="00B46BF0">
      <w:pPr>
        <w:pStyle w:val="ListParagraph"/>
        <w:numPr>
          <w:ilvl w:val="0"/>
          <w:numId w:val="5"/>
        </w:numPr>
        <w:contextualSpacing/>
        <w:rPr>
          <w:rFonts w:ascii="Arial" w:hAnsi="Arial" w:cs="Arial"/>
          <w:sz w:val="24"/>
          <w:szCs w:val="24"/>
        </w:rPr>
      </w:pPr>
      <w:r w:rsidRPr="00B46BF0">
        <w:rPr>
          <w:rFonts w:ascii="Arial" w:hAnsi="Arial" w:cs="Arial"/>
          <w:sz w:val="24"/>
          <w:szCs w:val="24"/>
        </w:rPr>
        <w:t>Budgets</w:t>
      </w:r>
    </w:p>
    <w:p w:rsidR="00B46BF0" w:rsidRPr="00B46BF0" w:rsidRDefault="00B46BF0" w:rsidP="00B46BF0">
      <w:pPr>
        <w:pStyle w:val="ListParagraph"/>
        <w:numPr>
          <w:ilvl w:val="0"/>
          <w:numId w:val="5"/>
        </w:numPr>
        <w:contextualSpacing/>
        <w:rPr>
          <w:rFonts w:ascii="Arial" w:hAnsi="Arial" w:cs="Arial"/>
          <w:sz w:val="24"/>
          <w:szCs w:val="24"/>
        </w:rPr>
      </w:pPr>
      <w:r w:rsidRPr="00B46BF0">
        <w:rPr>
          <w:rFonts w:ascii="Arial" w:hAnsi="Arial" w:cs="Arial"/>
          <w:sz w:val="24"/>
          <w:szCs w:val="24"/>
        </w:rPr>
        <w:t>Appeals and Fair Hearings</w:t>
      </w:r>
    </w:p>
    <w:p w:rsidR="00B46BF0" w:rsidRPr="00B46BF0" w:rsidRDefault="00B46BF0" w:rsidP="00B46BF0">
      <w:pPr>
        <w:pStyle w:val="ListParagraph"/>
        <w:numPr>
          <w:ilvl w:val="0"/>
          <w:numId w:val="5"/>
        </w:numPr>
        <w:contextualSpacing/>
        <w:rPr>
          <w:rFonts w:ascii="Arial" w:hAnsi="Arial" w:cs="Arial"/>
          <w:sz w:val="24"/>
          <w:szCs w:val="24"/>
        </w:rPr>
      </w:pPr>
      <w:r w:rsidRPr="00B46BF0">
        <w:rPr>
          <w:rFonts w:ascii="Arial" w:hAnsi="Arial" w:cs="Arial"/>
          <w:sz w:val="24"/>
          <w:szCs w:val="24"/>
        </w:rPr>
        <w:t>Withdraws</w:t>
      </w:r>
    </w:p>
    <w:p w:rsidR="00B46BF0" w:rsidRPr="00B46BF0" w:rsidRDefault="00B46BF0" w:rsidP="00B46BF0">
      <w:pPr>
        <w:pStyle w:val="ListParagraph"/>
        <w:numPr>
          <w:ilvl w:val="0"/>
          <w:numId w:val="5"/>
        </w:numPr>
        <w:contextualSpacing/>
        <w:rPr>
          <w:rFonts w:ascii="Arial" w:hAnsi="Arial" w:cs="Arial"/>
          <w:sz w:val="24"/>
          <w:szCs w:val="24"/>
        </w:rPr>
      </w:pPr>
      <w:r w:rsidRPr="00B46BF0">
        <w:rPr>
          <w:rFonts w:ascii="Arial" w:hAnsi="Arial" w:cs="Arial"/>
          <w:sz w:val="24"/>
          <w:szCs w:val="24"/>
        </w:rPr>
        <w:t>Reasons for ineligibility</w:t>
      </w:r>
    </w:p>
    <w:p w:rsidR="00B46BF0" w:rsidRDefault="00B46BF0" w:rsidP="00B46BF0">
      <w:pPr>
        <w:spacing w:line="240" w:lineRule="auto"/>
        <w:contextualSpacing/>
        <w:rPr>
          <w:rFonts w:ascii="Arial" w:hAnsi="Arial" w:cs="Arial"/>
          <w:b/>
          <w:sz w:val="24"/>
          <w:szCs w:val="24"/>
        </w:rPr>
      </w:pPr>
    </w:p>
    <w:p w:rsidR="00B46BF0" w:rsidRPr="00B46BF0" w:rsidRDefault="00B46BF0" w:rsidP="00B46BF0">
      <w:pPr>
        <w:spacing w:line="240" w:lineRule="auto"/>
        <w:contextualSpacing/>
        <w:rPr>
          <w:rFonts w:ascii="Arial" w:hAnsi="Arial" w:cs="Arial"/>
          <w:b/>
          <w:sz w:val="24"/>
          <w:szCs w:val="24"/>
        </w:rPr>
      </w:pPr>
      <w:r w:rsidRPr="00B46BF0">
        <w:rPr>
          <w:rFonts w:ascii="Arial" w:hAnsi="Arial" w:cs="Arial"/>
          <w:b/>
          <w:sz w:val="24"/>
          <w:szCs w:val="24"/>
        </w:rPr>
        <w:t>DD Act Partners:</w:t>
      </w:r>
    </w:p>
    <w:p w:rsidR="00B46BF0" w:rsidRPr="00B46BF0" w:rsidRDefault="00B46BF0" w:rsidP="00B46BF0">
      <w:pPr>
        <w:spacing w:line="240" w:lineRule="auto"/>
        <w:contextualSpacing/>
        <w:rPr>
          <w:rFonts w:ascii="Arial" w:hAnsi="Arial" w:cs="Arial"/>
          <w:sz w:val="24"/>
          <w:szCs w:val="24"/>
        </w:rPr>
      </w:pPr>
      <w:r w:rsidRPr="00B46BF0">
        <w:rPr>
          <w:rFonts w:ascii="Arial" w:hAnsi="Arial" w:cs="Arial"/>
          <w:sz w:val="24"/>
          <w:szCs w:val="24"/>
        </w:rPr>
        <w:t>Report on improvements in Personal Freedom, Authority, Supports, Responsibility and confirmation</w:t>
      </w:r>
    </w:p>
    <w:p w:rsidR="00B46BF0" w:rsidRPr="00B46BF0" w:rsidRDefault="00B46BF0" w:rsidP="00B46BF0">
      <w:pPr>
        <w:spacing w:line="240" w:lineRule="auto"/>
        <w:contextualSpacing/>
        <w:rPr>
          <w:rFonts w:ascii="Arial" w:hAnsi="Arial" w:cs="Arial"/>
          <w:sz w:val="24"/>
          <w:szCs w:val="24"/>
        </w:rPr>
      </w:pPr>
    </w:p>
    <w:sectPr w:rsidR="00B46BF0" w:rsidRPr="00B4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852"/>
    <w:multiLevelType w:val="hybridMultilevel"/>
    <w:tmpl w:val="CE6CA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A7646C"/>
    <w:multiLevelType w:val="hybridMultilevel"/>
    <w:tmpl w:val="95B60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BA235E"/>
    <w:multiLevelType w:val="hybridMultilevel"/>
    <w:tmpl w:val="FCFA9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472EBE"/>
    <w:multiLevelType w:val="hybridMultilevel"/>
    <w:tmpl w:val="B5F2A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C6591D"/>
    <w:multiLevelType w:val="hybridMultilevel"/>
    <w:tmpl w:val="CF4C5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F0"/>
    <w:rsid w:val="008E48B5"/>
    <w:rsid w:val="00B46BF0"/>
    <w:rsid w:val="00E0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D65A6-C147-492D-A5FA-4DBB4EC5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F0"/>
    <w:pPr>
      <w:spacing w:after="0" w:line="240" w:lineRule="auto"/>
      <w:ind w:left="720"/>
    </w:pPr>
  </w:style>
  <w:style w:type="paragraph" w:styleId="BalloonText">
    <w:name w:val="Balloon Text"/>
    <w:basedOn w:val="Normal"/>
    <w:link w:val="BalloonTextChar"/>
    <w:uiPriority w:val="99"/>
    <w:semiHidden/>
    <w:unhideWhenUsed/>
    <w:rsid w:val="00B46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5C379BF6</Template>
  <TotalTime>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Valley Mtn. Regional Ctr.</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Anderson</dc:creator>
  <cp:keywords/>
  <dc:description/>
  <cp:lastModifiedBy>Tony Anderson</cp:lastModifiedBy>
  <cp:revision>2</cp:revision>
  <cp:lastPrinted>2017-05-19T16:01:00Z</cp:lastPrinted>
  <dcterms:created xsi:type="dcterms:W3CDTF">2017-05-19T15:57:00Z</dcterms:created>
  <dcterms:modified xsi:type="dcterms:W3CDTF">2017-05-19T16:09:00Z</dcterms:modified>
</cp:coreProperties>
</file>