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FAB8" w14:textId="3FACA4B1" w:rsidR="00B567F8" w:rsidRDefault="00B567F8" w:rsidP="00B567F8">
      <w:pPr>
        <w:spacing w:after="0" w:line="276" w:lineRule="auto"/>
        <w:jc w:val="center"/>
        <w:rPr>
          <w:rFonts w:ascii="Cambria" w:hAnsi="Cambria" w:cs="Times New Roman"/>
        </w:rPr>
      </w:pPr>
      <w:r w:rsidRPr="000009FB">
        <w:rPr>
          <w:rFonts w:ascii="Cambria" w:hAnsi="Cambria" w:cs="Times New Roman"/>
          <w:noProof/>
          <w:color w:val="333333"/>
          <w:shd w:val="clear" w:color="auto" w:fill="FFFFFF"/>
        </w:rPr>
        <w:drawing>
          <wp:inline distT="0" distB="0" distL="0" distR="0" wp14:anchorId="5D37006D" wp14:editId="0354C9E6">
            <wp:extent cx="2657475" cy="956691"/>
            <wp:effectExtent l="0" t="0" r="0" b="0"/>
            <wp:docPr id="1" name="Picture 1" title="Part D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ropbox\Work Documents\National Council 1\National Council\6 classes coalition\Partnership Docs\AF-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602" cy="968257"/>
                    </a:xfrm>
                    <a:prstGeom prst="rect">
                      <a:avLst/>
                    </a:prstGeom>
                    <a:noFill/>
                    <a:ln>
                      <a:noFill/>
                    </a:ln>
                  </pic:spPr>
                </pic:pic>
              </a:graphicData>
            </a:graphic>
          </wp:inline>
        </w:drawing>
      </w:r>
    </w:p>
    <w:p w14:paraId="765F437A" w14:textId="77777777" w:rsidR="00B567F8" w:rsidRDefault="00B567F8" w:rsidP="00D002D6">
      <w:pPr>
        <w:spacing w:after="0" w:line="276" w:lineRule="auto"/>
        <w:rPr>
          <w:rFonts w:ascii="Cambria" w:hAnsi="Cambria" w:cs="Times New Roman"/>
        </w:rPr>
      </w:pPr>
    </w:p>
    <w:p w14:paraId="34AA00CF" w14:textId="137CEED1" w:rsidR="008E5CBB" w:rsidRPr="00D002D6" w:rsidRDefault="00B567F8" w:rsidP="00B567F8">
      <w:pPr>
        <w:spacing w:after="0" w:line="276" w:lineRule="auto"/>
        <w:jc w:val="both"/>
        <w:rPr>
          <w:rFonts w:ascii="Cambria" w:hAnsi="Cambria" w:cs="Times New Roman"/>
        </w:rPr>
      </w:pPr>
      <w:r>
        <w:rPr>
          <w:rFonts w:ascii="Cambria" w:hAnsi="Cambria" w:cs="Times New Roman"/>
        </w:rPr>
        <w:t>April 9</w:t>
      </w:r>
      <w:r w:rsidR="008E5CBB" w:rsidRPr="00D002D6">
        <w:rPr>
          <w:rFonts w:ascii="Cambria" w:hAnsi="Cambria" w:cs="Times New Roman"/>
        </w:rPr>
        <w:t>, 20</w:t>
      </w:r>
      <w:r w:rsidR="00BD7F48" w:rsidRPr="00D002D6">
        <w:rPr>
          <w:rFonts w:ascii="Cambria" w:hAnsi="Cambria" w:cs="Times New Roman"/>
        </w:rPr>
        <w:t>1</w:t>
      </w:r>
      <w:r w:rsidR="008E5CBB" w:rsidRPr="00D002D6">
        <w:rPr>
          <w:rFonts w:ascii="Cambria" w:hAnsi="Cambria" w:cs="Times New Roman"/>
        </w:rPr>
        <w:t xml:space="preserve">8 </w:t>
      </w:r>
    </w:p>
    <w:p w14:paraId="5898140B" w14:textId="77777777" w:rsidR="008E5CBB" w:rsidRPr="00D002D6" w:rsidRDefault="008E5CBB" w:rsidP="00B567F8">
      <w:pPr>
        <w:spacing w:after="0" w:line="276" w:lineRule="auto"/>
        <w:jc w:val="both"/>
        <w:rPr>
          <w:rFonts w:ascii="Cambria" w:hAnsi="Cambria" w:cs="Times New Roman"/>
        </w:rPr>
      </w:pPr>
    </w:p>
    <w:p w14:paraId="2E3619FE" w14:textId="78EDDF2F" w:rsidR="0005102D" w:rsidRPr="00D002D6" w:rsidRDefault="00E74CFE" w:rsidP="00B567F8">
      <w:pPr>
        <w:spacing w:after="0" w:line="276" w:lineRule="auto"/>
        <w:jc w:val="both"/>
        <w:rPr>
          <w:rFonts w:ascii="Cambria" w:hAnsi="Cambria" w:cs="Times New Roman"/>
        </w:rPr>
      </w:pPr>
      <w:r w:rsidRPr="00D002D6">
        <w:rPr>
          <w:rFonts w:ascii="Cambria" w:hAnsi="Cambria" w:cs="Times New Roman"/>
        </w:rPr>
        <w:t xml:space="preserve">The Honorable </w:t>
      </w:r>
      <w:r w:rsidR="0005102D" w:rsidRPr="00D002D6">
        <w:rPr>
          <w:rFonts w:ascii="Cambria" w:hAnsi="Cambria" w:cs="Times New Roman"/>
        </w:rPr>
        <w:t xml:space="preserve">Alex Azar </w:t>
      </w:r>
    </w:p>
    <w:p w14:paraId="4C9FF388" w14:textId="77777777" w:rsidR="0005102D" w:rsidRPr="00D002D6" w:rsidRDefault="00E74CFE" w:rsidP="00B567F8">
      <w:pPr>
        <w:spacing w:after="0" w:line="276" w:lineRule="auto"/>
        <w:jc w:val="both"/>
        <w:rPr>
          <w:rFonts w:ascii="Cambria" w:hAnsi="Cambria" w:cs="Times New Roman"/>
        </w:rPr>
      </w:pPr>
      <w:r w:rsidRPr="00D002D6">
        <w:rPr>
          <w:rFonts w:ascii="Cambria" w:hAnsi="Cambria" w:cs="Times New Roman"/>
        </w:rPr>
        <w:t xml:space="preserve">Secretary  </w:t>
      </w:r>
    </w:p>
    <w:p w14:paraId="70AE2AA7" w14:textId="77777777" w:rsidR="0005102D" w:rsidRPr="00D002D6" w:rsidRDefault="00E74CFE" w:rsidP="00B567F8">
      <w:pPr>
        <w:spacing w:after="0" w:line="276" w:lineRule="auto"/>
        <w:jc w:val="both"/>
        <w:rPr>
          <w:rFonts w:ascii="Cambria" w:hAnsi="Cambria" w:cs="Times New Roman"/>
        </w:rPr>
      </w:pPr>
      <w:r w:rsidRPr="00D002D6">
        <w:rPr>
          <w:rFonts w:ascii="Cambria" w:hAnsi="Cambria" w:cs="Times New Roman"/>
        </w:rPr>
        <w:t xml:space="preserve">U.S. Department of Health &amp; Human Services  </w:t>
      </w:r>
    </w:p>
    <w:p w14:paraId="7EE5D8BA" w14:textId="77777777" w:rsidR="0005102D" w:rsidRPr="00D002D6" w:rsidRDefault="00E74CFE" w:rsidP="00B567F8">
      <w:pPr>
        <w:spacing w:after="0" w:line="276" w:lineRule="auto"/>
        <w:jc w:val="both"/>
        <w:rPr>
          <w:rFonts w:ascii="Cambria" w:hAnsi="Cambria" w:cs="Times New Roman"/>
        </w:rPr>
      </w:pPr>
      <w:r w:rsidRPr="00D002D6">
        <w:rPr>
          <w:rFonts w:ascii="Cambria" w:hAnsi="Cambria" w:cs="Times New Roman"/>
        </w:rPr>
        <w:t xml:space="preserve">200 Independence Avenue, S.W.  </w:t>
      </w:r>
    </w:p>
    <w:p w14:paraId="2C6918D6" w14:textId="2F47A81C" w:rsidR="00E74CFE" w:rsidRDefault="00E74CFE" w:rsidP="00B567F8">
      <w:pPr>
        <w:spacing w:after="0" w:line="276" w:lineRule="auto"/>
        <w:jc w:val="both"/>
        <w:rPr>
          <w:rFonts w:ascii="Cambria" w:hAnsi="Cambria" w:cs="Times New Roman"/>
        </w:rPr>
      </w:pPr>
      <w:r w:rsidRPr="00D002D6">
        <w:rPr>
          <w:rFonts w:ascii="Cambria" w:hAnsi="Cambria" w:cs="Times New Roman"/>
        </w:rPr>
        <w:t>Washington, D.C. 20201</w:t>
      </w:r>
    </w:p>
    <w:p w14:paraId="6B090EC3" w14:textId="77777777" w:rsidR="00B567F8" w:rsidRPr="00D002D6" w:rsidRDefault="00B567F8" w:rsidP="00B567F8">
      <w:pPr>
        <w:spacing w:after="0" w:line="276" w:lineRule="auto"/>
        <w:jc w:val="both"/>
        <w:rPr>
          <w:rFonts w:ascii="Cambria" w:hAnsi="Cambria" w:cs="Times New Roman"/>
        </w:rPr>
      </w:pPr>
    </w:p>
    <w:p w14:paraId="56EA9CE9" w14:textId="5B1CA2D7" w:rsidR="00E74CFE" w:rsidRDefault="00E74CFE" w:rsidP="00B567F8">
      <w:pPr>
        <w:spacing w:after="0" w:line="276" w:lineRule="auto"/>
        <w:jc w:val="both"/>
        <w:rPr>
          <w:rFonts w:ascii="Cambria" w:hAnsi="Cambria" w:cs="Times New Roman"/>
        </w:rPr>
      </w:pPr>
      <w:r w:rsidRPr="00D002D6">
        <w:rPr>
          <w:rFonts w:ascii="Cambria" w:hAnsi="Cambria" w:cs="Times New Roman"/>
        </w:rPr>
        <w:t xml:space="preserve">Dear Secretary </w:t>
      </w:r>
      <w:r w:rsidR="003B12F2" w:rsidRPr="00D002D6">
        <w:rPr>
          <w:rFonts w:ascii="Cambria" w:hAnsi="Cambria" w:cs="Times New Roman"/>
        </w:rPr>
        <w:t>Azar</w:t>
      </w:r>
      <w:r w:rsidRPr="00D002D6">
        <w:rPr>
          <w:rFonts w:ascii="Cambria" w:hAnsi="Cambria" w:cs="Times New Roman"/>
        </w:rPr>
        <w:t xml:space="preserve">, </w:t>
      </w:r>
    </w:p>
    <w:p w14:paraId="749FF72E" w14:textId="77777777" w:rsidR="00D002D6" w:rsidRPr="00D002D6" w:rsidRDefault="00D002D6" w:rsidP="00B567F8">
      <w:pPr>
        <w:spacing w:after="0" w:line="276" w:lineRule="auto"/>
        <w:jc w:val="both"/>
        <w:rPr>
          <w:rFonts w:ascii="Cambria" w:hAnsi="Cambria" w:cs="Times New Roman"/>
        </w:rPr>
      </w:pPr>
    </w:p>
    <w:p w14:paraId="20C3C179" w14:textId="30D1D364" w:rsidR="000717BC" w:rsidRPr="00D002D6" w:rsidRDefault="003B12F2" w:rsidP="00B567F8">
      <w:pPr>
        <w:pStyle w:val="Default"/>
        <w:spacing w:line="276" w:lineRule="auto"/>
        <w:ind w:firstLine="720"/>
        <w:jc w:val="both"/>
        <w:rPr>
          <w:rFonts w:cs="Times New Roman"/>
          <w:sz w:val="22"/>
          <w:szCs w:val="22"/>
        </w:rPr>
      </w:pPr>
      <w:r w:rsidRPr="00D002D6">
        <w:rPr>
          <w:rFonts w:cs="Times New Roman"/>
          <w:sz w:val="22"/>
          <w:szCs w:val="22"/>
        </w:rPr>
        <w:t xml:space="preserve">Congratulations on your recent confirmation to lead the Department of Health and Human Services. </w:t>
      </w:r>
      <w:r w:rsidR="00DC71CA" w:rsidRPr="00D002D6">
        <w:rPr>
          <w:rFonts w:cs="Times New Roman"/>
          <w:sz w:val="22"/>
          <w:szCs w:val="22"/>
        </w:rPr>
        <w:t>The Partnership for Part D Access (“the Partnership”)</w:t>
      </w:r>
      <w:r w:rsidRPr="00D002D6">
        <w:rPr>
          <w:rFonts w:cs="Times New Roman"/>
          <w:sz w:val="22"/>
          <w:szCs w:val="22"/>
        </w:rPr>
        <w:t xml:space="preserve"> </w:t>
      </w:r>
      <w:r w:rsidR="00DC71CA" w:rsidRPr="00D002D6">
        <w:rPr>
          <w:rFonts w:cs="Times New Roman"/>
          <w:sz w:val="22"/>
          <w:szCs w:val="22"/>
        </w:rPr>
        <w:t xml:space="preserve">has </w:t>
      </w:r>
      <w:r w:rsidR="002A63D5" w:rsidRPr="00D002D6">
        <w:rPr>
          <w:rFonts w:cs="Times New Roman"/>
          <w:sz w:val="22"/>
          <w:szCs w:val="22"/>
        </w:rPr>
        <w:t xml:space="preserve">been pleased to learn of your </w:t>
      </w:r>
      <w:r w:rsidR="00494394" w:rsidRPr="00D002D6">
        <w:rPr>
          <w:rFonts w:cs="Times New Roman"/>
          <w:sz w:val="22"/>
          <w:szCs w:val="22"/>
        </w:rPr>
        <w:t xml:space="preserve">commitment to policies that will help bring down the cost of treatments for </w:t>
      </w:r>
      <w:r w:rsidR="00684B7C" w:rsidRPr="00D002D6">
        <w:rPr>
          <w:rFonts w:cs="Times New Roman"/>
          <w:sz w:val="22"/>
          <w:szCs w:val="22"/>
        </w:rPr>
        <w:t xml:space="preserve">patients </w:t>
      </w:r>
      <w:r w:rsidR="00494394" w:rsidRPr="00D002D6">
        <w:rPr>
          <w:rFonts w:cs="Times New Roman"/>
          <w:sz w:val="22"/>
          <w:szCs w:val="22"/>
        </w:rPr>
        <w:t xml:space="preserve">without reducing access. </w:t>
      </w:r>
      <w:r w:rsidR="0000762F" w:rsidRPr="00D002D6">
        <w:rPr>
          <w:rFonts w:cs="Times New Roman"/>
          <w:sz w:val="22"/>
          <w:szCs w:val="22"/>
        </w:rPr>
        <w:t xml:space="preserve">We recognize the depth of expertise that you bring to </w:t>
      </w:r>
      <w:r w:rsidR="00540128" w:rsidRPr="00D002D6">
        <w:rPr>
          <w:rFonts w:cs="Times New Roman"/>
          <w:sz w:val="22"/>
          <w:szCs w:val="22"/>
        </w:rPr>
        <w:t xml:space="preserve">the multifaceted </w:t>
      </w:r>
      <w:r w:rsidR="0000762F" w:rsidRPr="00D002D6">
        <w:rPr>
          <w:rFonts w:cs="Times New Roman"/>
          <w:sz w:val="22"/>
          <w:szCs w:val="22"/>
        </w:rPr>
        <w:t>discussions on prescription drug issues</w:t>
      </w:r>
      <w:r w:rsidR="00643A02" w:rsidRPr="00D002D6">
        <w:rPr>
          <w:rFonts w:cs="Times New Roman"/>
          <w:sz w:val="22"/>
          <w:szCs w:val="22"/>
        </w:rPr>
        <w:t>,</w:t>
      </w:r>
      <w:r w:rsidR="0000762F" w:rsidRPr="00D002D6">
        <w:rPr>
          <w:rFonts w:cs="Times New Roman"/>
          <w:sz w:val="22"/>
          <w:szCs w:val="22"/>
        </w:rPr>
        <w:t xml:space="preserve"> and we are </w:t>
      </w:r>
      <w:r w:rsidR="00BE2F2A" w:rsidRPr="00D002D6">
        <w:rPr>
          <w:rFonts w:cs="Times New Roman"/>
          <w:sz w:val="22"/>
          <w:szCs w:val="22"/>
        </w:rPr>
        <w:t xml:space="preserve">hopeful this will allow the Partnership </w:t>
      </w:r>
      <w:r w:rsidR="000717BC" w:rsidRPr="00D002D6">
        <w:rPr>
          <w:rFonts w:cs="Times New Roman"/>
          <w:sz w:val="22"/>
          <w:szCs w:val="22"/>
        </w:rPr>
        <w:t xml:space="preserve">and other concerned stakeholders </w:t>
      </w:r>
      <w:r w:rsidR="00BE2F2A" w:rsidRPr="00D002D6">
        <w:rPr>
          <w:rFonts w:cs="Times New Roman"/>
          <w:sz w:val="22"/>
          <w:szCs w:val="22"/>
        </w:rPr>
        <w:t xml:space="preserve">to engage </w:t>
      </w:r>
      <w:r w:rsidR="00F90665" w:rsidRPr="00D002D6">
        <w:rPr>
          <w:rFonts w:cs="Times New Roman"/>
          <w:sz w:val="22"/>
          <w:szCs w:val="22"/>
        </w:rPr>
        <w:t xml:space="preserve">with you </w:t>
      </w:r>
      <w:r w:rsidR="00BE2F2A" w:rsidRPr="00D002D6">
        <w:rPr>
          <w:rFonts w:cs="Times New Roman"/>
          <w:sz w:val="22"/>
          <w:szCs w:val="22"/>
        </w:rPr>
        <w:t xml:space="preserve">around </w:t>
      </w:r>
      <w:r w:rsidR="00EF2C95" w:rsidRPr="00D002D6">
        <w:rPr>
          <w:rFonts w:cs="Times New Roman"/>
          <w:sz w:val="22"/>
          <w:szCs w:val="22"/>
        </w:rPr>
        <w:t xml:space="preserve">innovative </w:t>
      </w:r>
      <w:r w:rsidR="00BE2F2A" w:rsidRPr="00D002D6">
        <w:rPr>
          <w:rFonts w:cs="Times New Roman"/>
          <w:sz w:val="22"/>
          <w:szCs w:val="22"/>
        </w:rPr>
        <w:t xml:space="preserve">ideas </w:t>
      </w:r>
      <w:r w:rsidR="004729AA" w:rsidRPr="00D002D6">
        <w:rPr>
          <w:rFonts w:cs="Times New Roman"/>
          <w:sz w:val="22"/>
          <w:szCs w:val="22"/>
        </w:rPr>
        <w:t>that</w:t>
      </w:r>
      <w:r w:rsidR="00EF2C95" w:rsidRPr="00D002D6">
        <w:rPr>
          <w:rFonts w:cs="Times New Roman"/>
          <w:sz w:val="22"/>
          <w:szCs w:val="22"/>
        </w:rPr>
        <w:t xml:space="preserve"> continue to</w:t>
      </w:r>
      <w:r w:rsidR="004729AA" w:rsidRPr="00D002D6">
        <w:rPr>
          <w:rFonts w:cs="Times New Roman"/>
          <w:sz w:val="22"/>
          <w:szCs w:val="22"/>
        </w:rPr>
        <w:t xml:space="preserve"> safeguard </w:t>
      </w:r>
      <w:r w:rsidR="0010443D" w:rsidRPr="00D002D6">
        <w:rPr>
          <w:rFonts w:cs="Times New Roman"/>
          <w:sz w:val="22"/>
          <w:szCs w:val="22"/>
        </w:rPr>
        <w:t xml:space="preserve">the breadth of </w:t>
      </w:r>
      <w:r w:rsidR="00F90665" w:rsidRPr="00D002D6">
        <w:rPr>
          <w:rFonts w:cs="Times New Roman"/>
          <w:sz w:val="22"/>
          <w:szCs w:val="22"/>
        </w:rPr>
        <w:t>patient</w:t>
      </w:r>
      <w:r w:rsidR="0010443D" w:rsidRPr="00D002D6">
        <w:rPr>
          <w:rFonts w:cs="Times New Roman"/>
          <w:sz w:val="22"/>
          <w:szCs w:val="22"/>
        </w:rPr>
        <w:t>s’</w:t>
      </w:r>
      <w:r w:rsidR="00F90665" w:rsidRPr="00D002D6">
        <w:rPr>
          <w:rFonts w:cs="Times New Roman"/>
          <w:sz w:val="22"/>
          <w:szCs w:val="22"/>
        </w:rPr>
        <w:t xml:space="preserve"> treatment needs. </w:t>
      </w:r>
    </w:p>
    <w:p w14:paraId="6704F107" w14:textId="77777777" w:rsidR="000717BC" w:rsidRPr="00D002D6" w:rsidRDefault="000717BC" w:rsidP="00B567F8">
      <w:pPr>
        <w:pStyle w:val="Default"/>
        <w:spacing w:line="276" w:lineRule="auto"/>
        <w:jc w:val="both"/>
        <w:rPr>
          <w:rFonts w:cs="Times New Roman"/>
          <w:sz w:val="22"/>
          <w:szCs w:val="22"/>
        </w:rPr>
      </w:pPr>
    </w:p>
    <w:p w14:paraId="6D842D97" w14:textId="7CA76B55" w:rsidR="00E74CFE" w:rsidRPr="00D002D6" w:rsidRDefault="00F336D8" w:rsidP="00B567F8">
      <w:pPr>
        <w:pStyle w:val="Default"/>
        <w:spacing w:line="276" w:lineRule="auto"/>
        <w:ind w:firstLine="720"/>
        <w:jc w:val="both"/>
        <w:rPr>
          <w:rFonts w:cs="Times New Roman"/>
          <w:sz w:val="22"/>
          <w:szCs w:val="22"/>
        </w:rPr>
      </w:pPr>
      <w:r w:rsidRPr="00D002D6">
        <w:rPr>
          <w:rFonts w:cs="Times New Roman"/>
          <w:sz w:val="22"/>
          <w:szCs w:val="22"/>
        </w:rPr>
        <w:t xml:space="preserve">As you begin to </w:t>
      </w:r>
      <w:r w:rsidR="004526B3" w:rsidRPr="00D002D6">
        <w:rPr>
          <w:rFonts w:cs="Times New Roman"/>
          <w:sz w:val="22"/>
          <w:szCs w:val="22"/>
        </w:rPr>
        <w:t xml:space="preserve">engage your staff </w:t>
      </w:r>
      <w:r w:rsidR="004C621D" w:rsidRPr="00D002D6">
        <w:rPr>
          <w:rFonts w:cs="Times New Roman"/>
          <w:sz w:val="22"/>
          <w:szCs w:val="22"/>
        </w:rPr>
        <w:t>around a wide range of policy options</w:t>
      </w:r>
      <w:r w:rsidR="004526B3" w:rsidRPr="00D002D6">
        <w:rPr>
          <w:rFonts w:cs="Times New Roman"/>
          <w:sz w:val="22"/>
          <w:szCs w:val="22"/>
        </w:rPr>
        <w:t>, w</w:t>
      </w:r>
      <w:r w:rsidR="00494394" w:rsidRPr="00D002D6">
        <w:rPr>
          <w:rFonts w:cs="Times New Roman"/>
          <w:sz w:val="22"/>
          <w:szCs w:val="22"/>
        </w:rPr>
        <w:t xml:space="preserve">e are writing to </w:t>
      </w:r>
      <w:r w:rsidR="00D1102A" w:rsidRPr="00D002D6">
        <w:rPr>
          <w:rFonts w:cs="Times New Roman"/>
          <w:sz w:val="22"/>
          <w:szCs w:val="22"/>
        </w:rPr>
        <w:t xml:space="preserve">make you aware of the </w:t>
      </w:r>
      <w:r w:rsidR="00DC71CA" w:rsidRPr="00D002D6">
        <w:rPr>
          <w:rFonts w:cs="Times New Roman"/>
          <w:sz w:val="22"/>
          <w:szCs w:val="22"/>
        </w:rPr>
        <w:t xml:space="preserve">access </w:t>
      </w:r>
      <w:r w:rsidR="00D1102A" w:rsidRPr="00D002D6">
        <w:rPr>
          <w:rFonts w:cs="Times New Roman"/>
          <w:sz w:val="22"/>
          <w:szCs w:val="22"/>
        </w:rPr>
        <w:t xml:space="preserve">issues </w:t>
      </w:r>
      <w:proofErr w:type="gramStart"/>
      <w:r w:rsidR="004C621D" w:rsidRPr="00D002D6">
        <w:rPr>
          <w:rFonts w:cs="Times New Roman"/>
          <w:sz w:val="22"/>
          <w:szCs w:val="22"/>
        </w:rPr>
        <w:t xml:space="preserve">particular </w:t>
      </w:r>
      <w:bookmarkStart w:id="0" w:name="_GoBack"/>
      <w:r w:rsidR="004C621D" w:rsidRPr="00D002D6">
        <w:rPr>
          <w:rFonts w:cs="Times New Roman"/>
          <w:sz w:val="22"/>
          <w:szCs w:val="22"/>
        </w:rPr>
        <w:t>to</w:t>
      </w:r>
      <w:proofErr w:type="gramEnd"/>
      <w:r w:rsidR="004C621D" w:rsidRPr="00D002D6">
        <w:rPr>
          <w:rFonts w:cs="Times New Roman"/>
          <w:sz w:val="22"/>
          <w:szCs w:val="22"/>
        </w:rPr>
        <w:t xml:space="preserve"> Medicare Part D’s protected classes policy</w:t>
      </w:r>
      <w:bookmarkEnd w:id="0"/>
      <w:r w:rsidR="004C621D" w:rsidRPr="00D002D6">
        <w:rPr>
          <w:rFonts w:cs="Times New Roman"/>
          <w:sz w:val="22"/>
          <w:szCs w:val="22"/>
        </w:rPr>
        <w:t xml:space="preserve">. </w:t>
      </w:r>
      <w:r w:rsidR="00E74CFE" w:rsidRPr="00D002D6">
        <w:rPr>
          <w:rFonts w:cs="Times New Roman"/>
          <w:sz w:val="22"/>
          <w:szCs w:val="22"/>
        </w:rPr>
        <w:t xml:space="preserve">Created in 2014, </w:t>
      </w:r>
      <w:r w:rsidR="00014622" w:rsidRPr="00D002D6">
        <w:rPr>
          <w:rFonts w:cs="Times New Roman"/>
          <w:sz w:val="22"/>
          <w:szCs w:val="22"/>
        </w:rPr>
        <w:t>t</w:t>
      </w:r>
      <w:r w:rsidR="00E74CFE" w:rsidRPr="00D002D6">
        <w:rPr>
          <w:rFonts w:cs="Times New Roman"/>
          <w:sz w:val="22"/>
          <w:szCs w:val="22"/>
        </w:rPr>
        <w:t>he Partnershi</w:t>
      </w:r>
      <w:r w:rsidR="00014622" w:rsidRPr="00D002D6">
        <w:rPr>
          <w:rFonts w:cs="Times New Roman"/>
          <w:sz w:val="22"/>
          <w:szCs w:val="22"/>
        </w:rPr>
        <w:t>p</w:t>
      </w:r>
      <w:r w:rsidR="00E74CFE" w:rsidRPr="00D002D6">
        <w:rPr>
          <w:rFonts w:cs="Times New Roman"/>
          <w:sz w:val="22"/>
          <w:szCs w:val="22"/>
        </w:rPr>
        <w:t xml:space="preserve"> is a coalition of healthcare stakeholders committed to maintaining access to medications under the Medicare Part D program. The Partnership and its members work with a broad range of organizations to ensure the continued protection of the categories and classes of drugs identified for unique patient access under the Social Security Act (the “protected classes”). These medications are vital to the treatment of: (1) epilepsy; (2) mental illness; (3) cancer; (4) HIV-AIDS; and (5) organ transplants. </w:t>
      </w:r>
    </w:p>
    <w:p w14:paraId="3DCD8B13" w14:textId="77777777" w:rsidR="000717BC" w:rsidRPr="00D002D6" w:rsidRDefault="000717BC" w:rsidP="00B567F8">
      <w:pPr>
        <w:pStyle w:val="Default"/>
        <w:spacing w:line="276" w:lineRule="auto"/>
        <w:jc w:val="both"/>
        <w:rPr>
          <w:rFonts w:cs="Times New Roman"/>
          <w:sz w:val="22"/>
          <w:szCs w:val="22"/>
        </w:rPr>
      </w:pPr>
    </w:p>
    <w:p w14:paraId="04F12532" w14:textId="322CB380" w:rsidR="002A3717" w:rsidRPr="002A3717" w:rsidRDefault="00E74CFE" w:rsidP="002A3717">
      <w:pPr>
        <w:spacing w:after="0" w:line="276" w:lineRule="auto"/>
        <w:ind w:firstLine="720"/>
        <w:jc w:val="both"/>
        <w:rPr>
          <w:rFonts w:ascii="Cambria" w:hAnsi="Cambria" w:cs="Times New Roman"/>
        </w:rPr>
      </w:pPr>
      <w:r w:rsidRPr="00D002D6">
        <w:rPr>
          <w:rFonts w:ascii="Cambria" w:hAnsi="Cambria" w:cs="Times New Roman"/>
        </w:rPr>
        <w:t xml:space="preserve">The Partnership was founded to combat efforts to undermine consumer access to appropriate treatment by increasing policymaker awareness of the vulnerability of patients with conditions within these protected classes and the potential impact of delayed or denied care. The Partnership’s membership currently includes a variety of patient advocacy organizations, such as the National Council for Behavioral Health, Transplant Recipients International Organization (TRIO), The AIDS Institute, Epilepsy Foundation, Cancer Support Community, National Alliance on Mental Illness (NAMI), and the National Kidney Foundation, as well as representatives of industry stakeholders. </w:t>
      </w:r>
      <w:r w:rsidR="002A3717">
        <w:br w:type="page"/>
      </w:r>
    </w:p>
    <w:p w14:paraId="511DD30D" w14:textId="355B26ED" w:rsidR="001373FF" w:rsidRDefault="001373FF" w:rsidP="006937BA">
      <w:pPr>
        <w:pStyle w:val="SectionHeading"/>
      </w:pPr>
      <w:r w:rsidRPr="00D002D6">
        <w:lastRenderedPageBreak/>
        <w:t>N</w:t>
      </w:r>
      <w:r w:rsidR="00823FEC" w:rsidRPr="00D002D6">
        <w:t>ew</w:t>
      </w:r>
      <w:r w:rsidR="007E2AE2" w:rsidRPr="00D002D6">
        <w:t xml:space="preserve"> Budget</w:t>
      </w:r>
      <w:r w:rsidR="00823FEC" w:rsidRPr="00D002D6">
        <w:t xml:space="preserve"> Proposals Threaten Access to</w:t>
      </w:r>
      <w:r w:rsidRPr="00D002D6">
        <w:t xml:space="preserve"> Treatment </w:t>
      </w:r>
    </w:p>
    <w:p w14:paraId="3849D1AA" w14:textId="77777777" w:rsidR="00B567F8" w:rsidRPr="00D002D6" w:rsidRDefault="00B567F8" w:rsidP="00B567F8">
      <w:pPr>
        <w:spacing w:after="0" w:line="276" w:lineRule="auto"/>
        <w:jc w:val="both"/>
        <w:rPr>
          <w:rFonts w:ascii="Cambria" w:hAnsi="Cambria" w:cs="Times New Roman"/>
          <w:b/>
          <w:u w:val="single"/>
        </w:rPr>
      </w:pPr>
    </w:p>
    <w:p w14:paraId="007C85A2" w14:textId="02FD3E34" w:rsidR="00E93A02" w:rsidRDefault="00BA4C2B" w:rsidP="00B567F8">
      <w:pPr>
        <w:spacing w:after="0" w:line="276" w:lineRule="auto"/>
        <w:ind w:firstLine="720"/>
        <w:jc w:val="both"/>
        <w:rPr>
          <w:rFonts w:ascii="Cambria" w:hAnsi="Cambria" w:cs="Times New Roman"/>
        </w:rPr>
      </w:pPr>
      <w:r w:rsidRPr="00D002D6">
        <w:rPr>
          <w:rFonts w:ascii="Cambria" w:hAnsi="Cambria" w:cs="Times New Roman"/>
        </w:rPr>
        <w:t xml:space="preserve">We </w:t>
      </w:r>
      <w:r w:rsidR="00D66E2E" w:rsidRPr="00D002D6">
        <w:rPr>
          <w:rFonts w:ascii="Cambria" w:hAnsi="Cambria" w:cs="Times New Roman"/>
        </w:rPr>
        <w:t xml:space="preserve">reviewed with interest </w:t>
      </w:r>
      <w:r w:rsidR="00A561E6" w:rsidRPr="00D002D6">
        <w:rPr>
          <w:rFonts w:ascii="Cambria" w:hAnsi="Cambria" w:cs="Times New Roman"/>
        </w:rPr>
        <w:t xml:space="preserve">the </w:t>
      </w:r>
      <w:r w:rsidR="00E93A02" w:rsidRPr="00D002D6">
        <w:rPr>
          <w:rFonts w:ascii="Cambria" w:hAnsi="Cambria" w:cs="Times New Roman"/>
        </w:rPr>
        <w:t xml:space="preserve">drug pricing and payment </w:t>
      </w:r>
      <w:r w:rsidR="00D66E2E" w:rsidRPr="00D002D6">
        <w:rPr>
          <w:rFonts w:ascii="Cambria" w:hAnsi="Cambria" w:cs="Times New Roman"/>
        </w:rPr>
        <w:t xml:space="preserve">proposals in the </w:t>
      </w:r>
      <w:r w:rsidR="00A561E6" w:rsidRPr="00D002D6">
        <w:rPr>
          <w:rFonts w:ascii="Cambria" w:hAnsi="Cambria" w:cs="Times New Roman"/>
        </w:rPr>
        <w:t xml:space="preserve">Administration’s </w:t>
      </w:r>
      <w:r w:rsidR="006527E3" w:rsidRPr="00D002D6">
        <w:rPr>
          <w:rFonts w:ascii="Cambria" w:hAnsi="Cambria" w:cs="Times New Roman"/>
        </w:rPr>
        <w:t xml:space="preserve">Fiscal Year 2019 </w:t>
      </w:r>
      <w:r w:rsidR="00A561E6" w:rsidRPr="00D002D6">
        <w:rPr>
          <w:rFonts w:ascii="Cambria" w:hAnsi="Cambria" w:cs="Times New Roman"/>
        </w:rPr>
        <w:t>b</w:t>
      </w:r>
      <w:r w:rsidR="006527E3" w:rsidRPr="00D002D6">
        <w:rPr>
          <w:rFonts w:ascii="Cambria" w:hAnsi="Cambria" w:cs="Times New Roman"/>
        </w:rPr>
        <w:t xml:space="preserve">udget </w:t>
      </w:r>
      <w:r w:rsidR="00D66E2E" w:rsidRPr="00D002D6">
        <w:rPr>
          <w:rFonts w:ascii="Cambria" w:hAnsi="Cambria" w:cs="Times New Roman"/>
        </w:rPr>
        <w:t xml:space="preserve">plan. </w:t>
      </w:r>
      <w:r w:rsidR="00AC27ED" w:rsidRPr="00D002D6">
        <w:rPr>
          <w:rFonts w:ascii="Cambria" w:hAnsi="Cambria" w:cs="Times New Roman"/>
        </w:rPr>
        <w:t xml:space="preserve">We </w:t>
      </w:r>
      <w:r w:rsidR="00E93A02" w:rsidRPr="00D002D6">
        <w:rPr>
          <w:rFonts w:ascii="Cambria" w:hAnsi="Cambria" w:cs="Times New Roman"/>
        </w:rPr>
        <w:t xml:space="preserve">appreciate </w:t>
      </w:r>
      <w:r w:rsidR="00AC27ED" w:rsidRPr="00D002D6">
        <w:rPr>
          <w:rFonts w:ascii="Cambria" w:hAnsi="Cambria" w:cs="Times New Roman"/>
        </w:rPr>
        <w:t xml:space="preserve">that </w:t>
      </w:r>
      <w:r w:rsidR="00D46FC7" w:rsidRPr="00D002D6">
        <w:rPr>
          <w:rFonts w:ascii="Cambria" w:hAnsi="Cambria" w:cs="Times New Roman"/>
        </w:rPr>
        <w:t xml:space="preserve">since </w:t>
      </w:r>
      <w:r w:rsidR="00961477" w:rsidRPr="00D002D6">
        <w:rPr>
          <w:rFonts w:ascii="Cambria" w:hAnsi="Cambria" w:cs="Times New Roman"/>
        </w:rPr>
        <w:t xml:space="preserve">the budget </w:t>
      </w:r>
      <w:r w:rsidR="00E93A02" w:rsidRPr="00D002D6">
        <w:rPr>
          <w:rFonts w:ascii="Cambria" w:hAnsi="Cambria" w:cs="Times New Roman"/>
        </w:rPr>
        <w:t xml:space="preserve">proposals were </w:t>
      </w:r>
      <w:r w:rsidR="00961477" w:rsidRPr="00D002D6">
        <w:rPr>
          <w:rFonts w:ascii="Cambria" w:hAnsi="Cambria" w:cs="Times New Roman"/>
        </w:rPr>
        <w:t>finalized prior to your confirmation</w:t>
      </w:r>
      <w:r w:rsidR="00E93A02" w:rsidRPr="00D002D6">
        <w:rPr>
          <w:rFonts w:ascii="Cambria" w:hAnsi="Cambria" w:cs="Times New Roman"/>
        </w:rPr>
        <w:t>,</w:t>
      </w:r>
      <w:r w:rsidR="00961477" w:rsidRPr="00D002D6">
        <w:rPr>
          <w:rFonts w:ascii="Cambria" w:hAnsi="Cambria" w:cs="Times New Roman"/>
        </w:rPr>
        <w:t xml:space="preserve"> you will review the proposals </w:t>
      </w:r>
      <w:r w:rsidR="00A561E6" w:rsidRPr="00D002D6">
        <w:rPr>
          <w:rFonts w:ascii="Cambria" w:hAnsi="Cambria" w:cs="Times New Roman"/>
        </w:rPr>
        <w:t xml:space="preserve">with fresh eyes </w:t>
      </w:r>
      <w:r w:rsidR="00D46FC7" w:rsidRPr="00D002D6">
        <w:rPr>
          <w:rFonts w:ascii="Cambria" w:hAnsi="Cambria" w:cs="Times New Roman"/>
        </w:rPr>
        <w:t xml:space="preserve">and </w:t>
      </w:r>
      <w:r w:rsidR="001809A7" w:rsidRPr="00D002D6">
        <w:rPr>
          <w:rFonts w:ascii="Cambria" w:hAnsi="Cambria" w:cs="Times New Roman"/>
        </w:rPr>
        <w:t xml:space="preserve">prioritize feasible solutions. </w:t>
      </w:r>
      <w:r w:rsidR="00D46FC7" w:rsidRPr="00D002D6">
        <w:rPr>
          <w:rFonts w:ascii="Cambria" w:hAnsi="Cambria" w:cs="Times New Roman"/>
        </w:rPr>
        <w:t xml:space="preserve">As you do so, </w:t>
      </w:r>
      <w:r w:rsidR="00624EF6" w:rsidRPr="00D002D6">
        <w:rPr>
          <w:rFonts w:ascii="Cambria" w:hAnsi="Cambria" w:cs="Times New Roman"/>
        </w:rPr>
        <w:t xml:space="preserve">we urge </w:t>
      </w:r>
      <w:r w:rsidR="00A561E6" w:rsidRPr="00D002D6">
        <w:rPr>
          <w:rFonts w:ascii="Cambria" w:hAnsi="Cambria" w:cs="Times New Roman"/>
        </w:rPr>
        <w:t xml:space="preserve">you to consider the </w:t>
      </w:r>
      <w:r w:rsidR="00D66E2E" w:rsidRPr="00D002D6">
        <w:rPr>
          <w:rFonts w:ascii="Cambria" w:hAnsi="Cambria" w:cs="Times New Roman"/>
        </w:rPr>
        <w:t xml:space="preserve">Partnership’s longstanding views and well-regarded work around Medicare Part D’s protected classes and proposals impacting prescription drug formularies. </w:t>
      </w:r>
    </w:p>
    <w:p w14:paraId="48480364" w14:textId="77777777" w:rsidR="00B567F8" w:rsidRPr="00D002D6" w:rsidRDefault="00B567F8" w:rsidP="00B567F8">
      <w:pPr>
        <w:spacing w:after="0" w:line="276" w:lineRule="auto"/>
        <w:ind w:firstLine="720"/>
        <w:jc w:val="both"/>
        <w:rPr>
          <w:rFonts w:ascii="Cambria" w:hAnsi="Cambria" w:cs="Times New Roman"/>
        </w:rPr>
      </w:pPr>
    </w:p>
    <w:p w14:paraId="42E76F97" w14:textId="1E1259B4" w:rsidR="00CC13A0" w:rsidRDefault="00BA4C2B" w:rsidP="00B567F8">
      <w:pPr>
        <w:spacing w:after="0" w:line="276" w:lineRule="auto"/>
        <w:ind w:firstLine="720"/>
        <w:jc w:val="both"/>
        <w:rPr>
          <w:rFonts w:ascii="Cambria" w:hAnsi="Cambria" w:cs="Times New Roman"/>
        </w:rPr>
      </w:pPr>
      <w:r w:rsidRPr="00D002D6">
        <w:rPr>
          <w:rFonts w:ascii="Cambria" w:hAnsi="Cambria" w:cs="Times New Roman"/>
        </w:rPr>
        <w:t xml:space="preserve">We </w:t>
      </w:r>
      <w:r w:rsidR="00DB23A7" w:rsidRPr="00D002D6">
        <w:rPr>
          <w:rFonts w:ascii="Cambria" w:hAnsi="Cambria" w:cs="Times New Roman"/>
        </w:rPr>
        <w:t xml:space="preserve">welcome new ideas </w:t>
      </w:r>
      <w:r w:rsidR="00E93A02" w:rsidRPr="00D002D6">
        <w:rPr>
          <w:rFonts w:ascii="Cambria" w:hAnsi="Cambria" w:cs="Times New Roman"/>
        </w:rPr>
        <w:t xml:space="preserve">to address </w:t>
      </w:r>
      <w:r w:rsidR="00B22131" w:rsidRPr="00D002D6">
        <w:rPr>
          <w:rFonts w:ascii="Cambria" w:hAnsi="Cambria" w:cs="Times New Roman"/>
        </w:rPr>
        <w:t>drug costs</w:t>
      </w:r>
      <w:r w:rsidR="00E93A02" w:rsidRPr="00D002D6">
        <w:rPr>
          <w:rFonts w:ascii="Cambria" w:hAnsi="Cambria" w:cs="Times New Roman"/>
        </w:rPr>
        <w:t xml:space="preserve"> and we have a record of supporting appropriate tools </w:t>
      </w:r>
      <w:r w:rsidR="00DB23A7" w:rsidRPr="00D002D6">
        <w:rPr>
          <w:rFonts w:ascii="Cambria" w:hAnsi="Cambria" w:cs="Times New Roman"/>
        </w:rPr>
        <w:t xml:space="preserve">that have effectively helped to </w:t>
      </w:r>
      <w:r w:rsidR="00E93A02" w:rsidRPr="00D002D6">
        <w:rPr>
          <w:rFonts w:ascii="Cambria" w:hAnsi="Cambria" w:cs="Times New Roman"/>
        </w:rPr>
        <w:t xml:space="preserve">manage access </w:t>
      </w:r>
      <w:r w:rsidR="00A35D90" w:rsidRPr="00D002D6">
        <w:rPr>
          <w:rFonts w:ascii="Cambria" w:hAnsi="Cambria" w:cs="Times New Roman"/>
        </w:rPr>
        <w:t xml:space="preserve">to </w:t>
      </w:r>
      <w:r w:rsidR="00E93A02" w:rsidRPr="00D002D6">
        <w:rPr>
          <w:rFonts w:ascii="Cambria" w:hAnsi="Cambria" w:cs="Times New Roman"/>
        </w:rPr>
        <w:t>prescription drug therapies</w:t>
      </w:r>
      <w:r w:rsidR="00DB23A7" w:rsidRPr="00D002D6">
        <w:rPr>
          <w:rFonts w:ascii="Cambria" w:hAnsi="Cambria" w:cs="Times New Roman"/>
        </w:rPr>
        <w:t xml:space="preserve"> for Medicare Part D beneficiaries</w:t>
      </w:r>
      <w:r w:rsidR="00E93A02" w:rsidRPr="00D002D6">
        <w:rPr>
          <w:rFonts w:ascii="Cambria" w:hAnsi="Cambria" w:cs="Times New Roman"/>
        </w:rPr>
        <w:t>.  Ho</w:t>
      </w:r>
      <w:r w:rsidR="00B22131" w:rsidRPr="00D002D6">
        <w:rPr>
          <w:rFonts w:ascii="Cambria" w:hAnsi="Cambria" w:cs="Times New Roman"/>
        </w:rPr>
        <w:t xml:space="preserve">wever, </w:t>
      </w:r>
      <w:r w:rsidR="00DB09A8" w:rsidRPr="00D002D6">
        <w:rPr>
          <w:rFonts w:ascii="Cambria" w:hAnsi="Cambria" w:cs="Times New Roman"/>
        </w:rPr>
        <w:t xml:space="preserve">for the reasons we </w:t>
      </w:r>
      <w:r w:rsidR="00CC13A0" w:rsidRPr="00D002D6">
        <w:rPr>
          <w:rFonts w:ascii="Cambria" w:hAnsi="Cambria" w:cs="Times New Roman"/>
        </w:rPr>
        <w:t xml:space="preserve">discuss in more detail </w:t>
      </w:r>
      <w:r w:rsidR="00DB09A8" w:rsidRPr="00D002D6">
        <w:rPr>
          <w:rFonts w:ascii="Cambria" w:hAnsi="Cambria" w:cs="Times New Roman"/>
        </w:rPr>
        <w:t xml:space="preserve">below, </w:t>
      </w:r>
      <w:r w:rsidR="00D66E2E" w:rsidRPr="00D002D6">
        <w:rPr>
          <w:rFonts w:ascii="Cambria" w:hAnsi="Cambria" w:cs="Times New Roman"/>
        </w:rPr>
        <w:t xml:space="preserve">policymakers must </w:t>
      </w:r>
      <w:r w:rsidR="00A561E6" w:rsidRPr="00D002D6">
        <w:rPr>
          <w:rFonts w:ascii="Cambria" w:hAnsi="Cambria" w:cs="Times New Roman"/>
        </w:rPr>
        <w:t xml:space="preserve">balance </w:t>
      </w:r>
      <w:r w:rsidR="00DB23A7" w:rsidRPr="00D002D6">
        <w:rPr>
          <w:rFonts w:ascii="Cambria" w:hAnsi="Cambria" w:cs="Times New Roman"/>
        </w:rPr>
        <w:t>the current</w:t>
      </w:r>
      <w:r w:rsidR="00E93A02" w:rsidRPr="00D002D6">
        <w:rPr>
          <w:rFonts w:ascii="Cambria" w:hAnsi="Cambria" w:cs="Times New Roman"/>
        </w:rPr>
        <w:t xml:space="preserve"> drive for </w:t>
      </w:r>
      <w:r w:rsidR="00D66E2E" w:rsidRPr="00D002D6">
        <w:rPr>
          <w:rFonts w:ascii="Cambria" w:hAnsi="Cambria" w:cs="Times New Roman"/>
        </w:rPr>
        <w:t xml:space="preserve">affordability </w:t>
      </w:r>
      <w:r w:rsidR="00E93A02" w:rsidRPr="00D002D6">
        <w:rPr>
          <w:rFonts w:ascii="Cambria" w:hAnsi="Cambria" w:cs="Times New Roman"/>
        </w:rPr>
        <w:t xml:space="preserve">with </w:t>
      </w:r>
      <w:r w:rsidR="00DB23A7" w:rsidRPr="00D002D6">
        <w:rPr>
          <w:rFonts w:ascii="Cambria" w:hAnsi="Cambria" w:cs="Times New Roman"/>
        </w:rPr>
        <w:t xml:space="preserve">a </w:t>
      </w:r>
      <w:r w:rsidR="00A35D90" w:rsidRPr="00D002D6">
        <w:rPr>
          <w:rFonts w:ascii="Cambria" w:hAnsi="Cambria" w:cs="Times New Roman"/>
        </w:rPr>
        <w:t xml:space="preserve">person-centered approach to </w:t>
      </w:r>
      <w:r w:rsidR="00E93A02" w:rsidRPr="00D002D6">
        <w:rPr>
          <w:rFonts w:ascii="Cambria" w:hAnsi="Cambria" w:cs="Times New Roman"/>
        </w:rPr>
        <w:t xml:space="preserve">treatment.  </w:t>
      </w:r>
      <w:r w:rsidR="00A35D90" w:rsidRPr="00D002D6">
        <w:rPr>
          <w:rFonts w:ascii="Cambria" w:hAnsi="Cambria" w:cs="Times New Roman"/>
        </w:rPr>
        <w:t>Managing access, rather than restricting</w:t>
      </w:r>
      <w:r w:rsidR="00D91ED7" w:rsidRPr="00D002D6">
        <w:rPr>
          <w:rFonts w:ascii="Cambria" w:hAnsi="Cambria" w:cs="Times New Roman"/>
        </w:rPr>
        <w:t xml:space="preserve"> it, allows Medicare beneficiaries to continue to </w:t>
      </w:r>
      <w:r w:rsidR="00DB23A7" w:rsidRPr="00D002D6">
        <w:rPr>
          <w:rFonts w:ascii="Cambria" w:hAnsi="Cambria" w:cs="Times New Roman"/>
        </w:rPr>
        <w:t xml:space="preserve">avail themselves of </w:t>
      </w:r>
      <w:r w:rsidR="00D91ED7" w:rsidRPr="00D002D6">
        <w:rPr>
          <w:rFonts w:ascii="Cambria" w:hAnsi="Cambria" w:cs="Times New Roman"/>
        </w:rPr>
        <w:t xml:space="preserve">therapies </w:t>
      </w:r>
      <w:r w:rsidR="00A35D90" w:rsidRPr="00D002D6">
        <w:rPr>
          <w:rFonts w:ascii="Cambria" w:hAnsi="Cambria" w:cs="Times New Roman"/>
        </w:rPr>
        <w:t xml:space="preserve">within </w:t>
      </w:r>
      <w:r w:rsidR="005807E0" w:rsidRPr="00D002D6">
        <w:rPr>
          <w:rFonts w:ascii="Cambria" w:hAnsi="Cambria" w:cs="Times New Roman"/>
        </w:rPr>
        <w:t xml:space="preserve">each of </w:t>
      </w:r>
      <w:r w:rsidR="00A35D90" w:rsidRPr="00D002D6">
        <w:rPr>
          <w:rFonts w:ascii="Cambria" w:hAnsi="Cambria" w:cs="Times New Roman"/>
        </w:rPr>
        <w:t>Medicare Part D’s six protected classes</w:t>
      </w:r>
      <w:r w:rsidR="00D91ED7" w:rsidRPr="00D002D6">
        <w:rPr>
          <w:rFonts w:ascii="Cambria" w:hAnsi="Cambria" w:cs="Times New Roman"/>
        </w:rPr>
        <w:t xml:space="preserve">. </w:t>
      </w:r>
      <w:r w:rsidR="00A35D90" w:rsidRPr="00D002D6">
        <w:rPr>
          <w:rFonts w:ascii="Cambria" w:hAnsi="Cambria" w:cs="Times New Roman"/>
        </w:rPr>
        <w:t>Overemphasizing a</w:t>
      </w:r>
      <w:r w:rsidR="00D66E2E" w:rsidRPr="00D002D6">
        <w:rPr>
          <w:rFonts w:ascii="Cambria" w:hAnsi="Cambria" w:cs="Times New Roman"/>
        </w:rPr>
        <w:t xml:space="preserve">ffordability </w:t>
      </w:r>
      <w:r w:rsidR="00A35D90" w:rsidRPr="00D002D6">
        <w:rPr>
          <w:rFonts w:ascii="Cambria" w:hAnsi="Cambria" w:cs="Times New Roman"/>
        </w:rPr>
        <w:t xml:space="preserve">ultimately could compromise patient health and well-being and drive up overall health care costs for certain patient populations. </w:t>
      </w:r>
    </w:p>
    <w:p w14:paraId="4107FF65" w14:textId="77777777" w:rsidR="00B567F8" w:rsidRPr="00D002D6" w:rsidRDefault="00B567F8" w:rsidP="00B567F8">
      <w:pPr>
        <w:spacing w:after="0" w:line="276" w:lineRule="auto"/>
        <w:ind w:firstLine="720"/>
        <w:jc w:val="both"/>
        <w:rPr>
          <w:rFonts w:ascii="Cambria" w:hAnsi="Cambria" w:cs="Times New Roman"/>
          <w:b/>
        </w:rPr>
      </w:pPr>
    </w:p>
    <w:p w14:paraId="007A781C" w14:textId="6ADD9796" w:rsidR="00E74CFE" w:rsidRDefault="00E74CFE" w:rsidP="006937BA">
      <w:pPr>
        <w:pStyle w:val="SectionHeading"/>
      </w:pPr>
      <w:r w:rsidRPr="00D002D6">
        <w:t xml:space="preserve">The Protected Classes Are Critically Important to Vulnerable Patients </w:t>
      </w:r>
    </w:p>
    <w:p w14:paraId="520D43C9" w14:textId="77777777" w:rsidR="00B567F8" w:rsidRPr="00D002D6" w:rsidRDefault="00B567F8" w:rsidP="00B567F8">
      <w:pPr>
        <w:spacing w:after="0" w:line="276" w:lineRule="auto"/>
        <w:jc w:val="both"/>
        <w:rPr>
          <w:rFonts w:ascii="Cambria" w:hAnsi="Cambria" w:cs="Times New Roman"/>
          <w:b/>
          <w:u w:val="single"/>
        </w:rPr>
      </w:pPr>
    </w:p>
    <w:p w14:paraId="30896455" w14:textId="77777777" w:rsidR="00B567F8" w:rsidRDefault="00E74CFE" w:rsidP="00B567F8">
      <w:pPr>
        <w:spacing w:after="0" w:line="276" w:lineRule="auto"/>
        <w:ind w:firstLine="720"/>
        <w:jc w:val="both"/>
        <w:rPr>
          <w:rFonts w:ascii="Cambria" w:hAnsi="Cambria" w:cs="Times New Roman"/>
        </w:rPr>
      </w:pPr>
      <w:r w:rsidRPr="00D002D6">
        <w:rPr>
          <w:rFonts w:ascii="Cambria" w:hAnsi="Cambria" w:cs="Times New Roman"/>
        </w:rPr>
        <w:t>The protected classes policy is essential for maintaining access to proper treatment for Medicare beneficiaries. Patients with a condition in one of the protected classes have very complicated medical needs, and many of these patients must attempt a variety of therapies before coming to a decision with their physicians about what is the most appropriate treatment. For example, patients often have significant co-morbidities, requiring nuanced treatment regimens. Patients with mental health conditions often have high rates of diabetes and heart disease, which may be exacerbated by untreated mental illness.</w:t>
      </w:r>
      <w:r w:rsidR="008E5CBB" w:rsidRPr="00D002D6">
        <w:rPr>
          <w:rStyle w:val="FootnoteReference"/>
          <w:rFonts w:ascii="Cambria" w:hAnsi="Cambria" w:cs="Times New Roman"/>
        </w:rPr>
        <w:footnoteReference w:id="1"/>
      </w:r>
      <w:r w:rsidRPr="00D002D6">
        <w:rPr>
          <w:rFonts w:ascii="Cambria" w:hAnsi="Cambria" w:cs="Times New Roman"/>
        </w:rPr>
        <w:t xml:space="preserve"> Additionally, one in four individuals with cancer has clinical depression.</w:t>
      </w:r>
      <w:r w:rsidR="008E5CBB" w:rsidRPr="00D002D6">
        <w:rPr>
          <w:rStyle w:val="FootnoteReference"/>
          <w:rFonts w:ascii="Cambria" w:hAnsi="Cambria" w:cs="Times New Roman"/>
        </w:rPr>
        <w:footnoteReference w:id="2"/>
      </w:r>
      <w:r w:rsidR="008E5CBB" w:rsidRPr="00D002D6">
        <w:rPr>
          <w:rFonts w:ascii="Cambria" w:hAnsi="Cambria" w:cs="Times New Roman"/>
        </w:rPr>
        <w:t xml:space="preserve"> </w:t>
      </w:r>
      <w:r w:rsidRPr="00D002D6">
        <w:rPr>
          <w:rFonts w:ascii="Cambria" w:hAnsi="Cambria" w:cs="Times New Roman"/>
        </w:rPr>
        <w:t>The protected classes policy shields them from arbitrary restrictions and limitations that may hinder access to important medications.</w:t>
      </w:r>
    </w:p>
    <w:p w14:paraId="10B5F8DD" w14:textId="77777777" w:rsidR="00B567F8" w:rsidRDefault="00B567F8" w:rsidP="00B567F8">
      <w:pPr>
        <w:spacing w:after="0" w:line="276" w:lineRule="auto"/>
        <w:jc w:val="both"/>
        <w:rPr>
          <w:rFonts w:ascii="Cambria" w:hAnsi="Cambria" w:cs="Times New Roman"/>
        </w:rPr>
      </w:pPr>
    </w:p>
    <w:p w14:paraId="4A9F02E8" w14:textId="10470C77"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 xml:space="preserve">While the protected classes policy protects patients, Part D plans have </w:t>
      </w:r>
      <w:proofErr w:type="gramStart"/>
      <w:r w:rsidRPr="00D002D6">
        <w:rPr>
          <w:rFonts w:ascii="Cambria" w:hAnsi="Cambria" w:cs="Times New Roman"/>
        </w:rPr>
        <w:t>a number of</w:t>
      </w:r>
      <w:proofErr w:type="gramEnd"/>
      <w:r w:rsidRPr="00D002D6">
        <w:rPr>
          <w:rFonts w:ascii="Cambria" w:hAnsi="Cambria" w:cs="Times New Roman"/>
        </w:rPr>
        <w:t xml:space="preserve"> tools that they use to control costs through utilization management and rebate negotiation. For example, under current guidance issued by the Centers for Medicare and Medicaid Services (CMS), for drugs other than those relating to HIV, Part D plans may use prior authorization and step therapy to manage therapies for any beneficiary beginning treatment on a protected class drug.</w:t>
      </w:r>
      <w:r w:rsidR="008E5CBB" w:rsidRPr="00D002D6">
        <w:rPr>
          <w:rStyle w:val="FootnoteReference"/>
          <w:rFonts w:ascii="Cambria" w:hAnsi="Cambria" w:cs="Times New Roman"/>
        </w:rPr>
        <w:footnoteReference w:id="3"/>
      </w:r>
      <w:r w:rsidRPr="00D002D6">
        <w:rPr>
          <w:rFonts w:ascii="Cambria" w:hAnsi="Cambria" w:cs="Times New Roman"/>
        </w:rPr>
        <w:t xml:space="preserve"> In addition, Part D plans may utilize formulary tiering to steer patients toward lower cost drugs. These tools give Part D plans considerable flexibility to manage more expensive medications, as well as leverage to negotiate rebates with manufacturers. </w:t>
      </w:r>
      <w:r w:rsidR="00537645" w:rsidRPr="00D002D6">
        <w:rPr>
          <w:rFonts w:ascii="Cambria" w:hAnsi="Cambria" w:cs="Times New Roman"/>
        </w:rPr>
        <w:t xml:space="preserve">Furthermore, it is worth noting that plans are utilizing the existing </w:t>
      </w:r>
      <w:proofErr w:type="gramStart"/>
      <w:r w:rsidR="00537645" w:rsidRPr="00D002D6">
        <w:rPr>
          <w:rFonts w:ascii="Cambria" w:hAnsi="Cambria" w:cs="Times New Roman"/>
        </w:rPr>
        <w:lastRenderedPageBreak/>
        <w:t>flexibility</w:t>
      </w:r>
      <w:proofErr w:type="gramEnd"/>
      <w:r w:rsidR="00537645" w:rsidRPr="00D002D6">
        <w:rPr>
          <w:rFonts w:ascii="Cambria" w:hAnsi="Cambria" w:cs="Times New Roman"/>
        </w:rPr>
        <w:t xml:space="preserve"> and this has ensured that generic dispensing rates (GDR) within the protected classes are on par with other therapeutic classes.</w:t>
      </w:r>
      <w:r w:rsidR="00537645" w:rsidRPr="00D002D6">
        <w:rPr>
          <w:rStyle w:val="FootnoteReference"/>
          <w:rFonts w:ascii="Cambria" w:hAnsi="Cambria" w:cs="Times New Roman"/>
        </w:rPr>
        <w:footnoteReference w:id="4"/>
      </w:r>
    </w:p>
    <w:p w14:paraId="09C8D1D5" w14:textId="77777777" w:rsidR="00B567F8" w:rsidRPr="00D002D6" w:rsidRDefault="00B567F8" w:rsidP="00B567F8">
      <w:pPr>
        <w:spacing w:after="0" w:line="276" w:lineRule="auto"/>
        <w:jc w:val="both"/>
        <w:rPr>
          <w:rFonts w:ascii="Cambria" w:hAnsi="Cambria" w:cs="Times New Roman"/>
        </w:rPr>
      </w:pPr>
    </w:p>
    <w:p w14:paraId="07D0BBAB" w14:textId="78268C27" w:rsidR="00E74CFE" w:rsidRDefault="00E74CFE" w:rsidP="006937BA">
      <w:pPr>
        <w:pStyle w:val="SectionHeading"/>
      </w:pPr>
      <w:r w:rsidRPr="00D002D6">
        <w:t xml:space="preserve">The Protected Classes Lower Medicare Spending and Promote Adherence </w:t>
      </w:r>
    </w:p>
    <w:p w14:paraId="79DBA1B6" w14:textId="77777777" w:rsidR="00B567F8" w:rsidRPr="00D002D6" w:rsidRDefault="00B567F8" w:rsidP="00B567F8">
      <w:pPr>
        <w:spacing w:after="0" w:line="276" w:lineRule="auto"/>
        <w:jc w:val="both"/>
        <w:rPr>
          <w:rFonts w:ascii="Cambria" w:hAnsi="Cambria" w:cs="Times New Roman"/>
          <w:b/>
          <w:u w:val="single"/>
        </w:rPr>
      </w:pPr>
    </w:p>
    <w:p w14:paraId="78D56695" w14:textId="073E6787" w:rsidR="00E37485" w:rsidRDefault="00E37485" w:rsidP="00B567F8">
      <w:pPr>
        <w:spacing w:after="0" w:line="276" w:lineRule="auto"/>
        <w:ind w:firstLine="720"/>
        <w:jc w:val="both"/>
        <w:rPr>
          <w:rFonts w:ascii="Cambria" w:hAnsi="Cambria" w:cs="Times New Roman"/>
        </w:rPr>
      </w:pPr>
      <w:r w:rsidRPr="00D002D6">
        <w:rPr>
          <w:rFonts w:ascii="Cambria" w:hAnsi="Cambria" w:cs="Times New Roman"/>
        </w:rPr>
        <w:t xml:space="preserve">While proponents of changes to the six protected classes argue that removing certain drugs from protected class status could reduce costs, their analysis consistently fails to recognize the significant tangential costs associated with austere formulary management. Limiting beneficiary access to vital medications will drive higher costs in Medicare Part A and Part B and Medicaid by increasing the need for inpatient care and emergency department visits due to the destabilization of patients’ conditions. The costs associated with this care often is not born by the Part D </w:t>
      </w:r>
      <w:proofErr w:type="gramStart"/>
      <w:r w:rsidRPr="00D002D6">
        <w:rPr>
          <w:rFonts w:ascii="Cambria" w:hAnsi="Cambria" w:cs="Times New Roman"/>
        </w:rPr>
        <w:t>plan, but</w:t>
      </w:r>
      <w:proofErr w:type="gramEnd"/>
      <w:r w:rsidRPr="00D002D6">
        <w:rPr>
          <w:rFonts w:ascii="Cambria" w:hAnsi="Cambria" w:cs="Times New Roman"/>
        </w:rPr>
        <w:t xml:space="preserve"> would increase overall costs to Medicare and Medicaid.</w:t>
      </w:r>
    </w:p>
    <w:p w14:paraId="62E90F81" w14:textId="77777777" w:rsidR="00B567F8" w:rsidRPr="00D002D6" w:rsidRDefault="00B567F8" w:rsidP="00B567F8">
      <w:pPr>
        <w:spacing w:after="0" w:line="276" w:lineRule="auto"/>
        <w:ind w:firstLine="720"/>
        <w:jc w:val="both"/>
        <w:rPr>
          <w:rFonts w:ascii="Cambria" w:hAnsi="Cambria" w:cs="Times New Roman"/>
        </w:rPr>
      </w:pPr>
    </w:p>
    <w:p w14:paraId="6A39DA6A" w14:textId="00165254"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An August 2016 study from researchers at Northwestern University’s Kellogg School of Management and the University of Texas at Austin highlights how “profit-maximizing” Part D plans are incentivized to limit benefits or increase certain costs for which Part D plans are not responsible under Med</w:t>
      </w:r>
      <w:r w:rsidR="008E5CBB" w:rsidRPr="00D002D6">
        <w:rPr>
          <w:rFonts w:ascii="Cambria" w:hAnsi="Cambria" w:cs="Times New Roman"/>
        </w:rPr>
        <w:t>icare (e.g., hospitalizations).</w:t>
      </w:r>
      <w:r w:rsidR="008E5CBB" w:rsidRPr="00D002D6">
        <w:rPr>
          <w:rStyle w:val="FootnoteReference"/>
          <w:rFonts w:ascii="Cambria" w:hAnsi="Cambria" w:cs="Times New Roman"/>
        </w:rPr>
        <w:footnoteReference w:id="5"/>
      </w:r>
      <w:r w:rsidRPr="00D002D6">
        <w:rPr>
          <w:rFonts w:ascii="Cambria" w:hAnsi="Cambria" w:cs="Times New Roman"/>
        </w:rPr>
        <w:t xml:space="preserve"> As detailed in the study, Part D plans are explicitly encouraged to reduce drug spending without bearing financial responsibility for the holistic health of the patient. The authors conclude that in covering drugs less generously, Part D plans end up costing traditional Medicare $475 million per year.</w:t>
      </w:r>
      <w:r w:rsidR="008E5CBB" w:rsidRPr="00D002D6">
        <w:rPr>
          <w:rStyle w:val="FootnoteReference"/>
          <w:rFonts w:ascii="Cambria" w:hAnsi="Cambria" w:cs="Times New Roman"/>
        </w:rPr>
        <w:footnoteReference w:id="6"/>
      </w:r>
      <w:r w:rsidRPr="00D002D6">
        <w:rPr>
          <w:rFonts w:ascii="Cambria" w:hAnsi="Cambria" w:cs="Times New Roman"/>
        </w:rPr>
        <w:t xml:space="preserve"> The study reinforces the importance of Medicare’s six protected classes in limiting future medical complications, hospitalizations, and additional costs to the Medicare program.</w:t>
      </w:r>
    </w:p>
    <w:p w14:paraId="2815388C" w14:textId="77777777" w:rsidR="00B567F8" w:rsidRPr="00D002D6" w:rsidRDefault="00B567F8" w:rsidP="00B567F8">
      <w:pPr>
        <w:spacing w:after="0" w:line="276" w:lineRule="auto"/>
        <w:ind w:firstLine="720"/>
        <w:jc w:val="both"/>
        <w:rPr>
          <w:rFonts w:ascii="Cambria" w:hAnsi="Cambria" w:cs="Times New Roman"/>
        </w:rPr>
      </w:pPr>
    </w:p>
    <w:p w14:paraId="70EFAE13" w14:textId="51270A15" w:rsidR="004B47CD" w:rsidRDefault="00E74CFE" w:rsidP="00B567F8">
      <w:pPr>
        <w:spacing w:after="0" w:line="276" w:lineRule="auto"/>
        <w:ind w:firstLine="720"/>
        <w:jc w:val="both"/>
        <w:rPr>
          <w:rFonts w:ascii="Cambria" w:hAnsi="Cambria" w:cs="Times New Roman"/>
        </w:rPr>
      </w:pPr>
      <w:r w:rsidRPr="00D002D6">
        <w:rPr>
          <w:rFonts w:ascii="Cambria" w:hAnsi="Cambria" w:cs="Times New Roman"/>
        </w:rPr>
        <w:t xml:space="preserve">Further, a March 2016 literature review conducted by </w:t>
      </w:r>
      <w:proofErr w:type="spellStart"/>
      <w:r w:rsidRPr="00D002D6">
        <w:rPr>
          <w:rFonts w:ascii="Cambria" w:hAnsi="Cambria" w:cs="Times New Roman"/>
        </w:rPr>
        <w:t>Avalere</w:t>
      </w:r>
      <w:proofErr w:type="spellEnd"/>
      <w:r w:rsidRPr="00D002D6">
        <w:rPr>
          <w:rFonts w:ascii="Cambria" w:hAnsi="Cambria" w:cs="Times New Roman"/>
        </w:rPr>
        <w:t xml:space="preserve"> Health suggests little evidence exists to show that limiting formulary access le</w:t>
      </w:r>
      <w:r w:rsidR="008E5CBB" w:rsidRPr="00D002D6">
        <w:rPr>
          <w:rFonts w:ascii="Cambria" w:hAnsi="Cambria" w:cs="Times New Roman"/>
        </w:rPr>
        <w:t>ads to meaningful cost savings.</w:t>
      </w:r>
      <w:r w:rsidR="008E5CBB" w:rsidRPr="00D002D6">
        <w:rPr>
          <w:rStyle w:val="FootnoteReference"/>
          <w:rFonts w:ascii="Cambria" w:hAnsi="Cambria" w:cs="Times New Roman"/>
        </w:rPr>
        <w:footnoteReference w:id="7"/>
      </w:r>
      <w:r w:rsidRPr="00D002D6">
        <w:rPr>
          <w:rFonts w:ascii="Cambria" w:hAnsi="Cambria" w:cs="Times New Roman"/>
        </w:rPr>
        <w:t xml:space="preserve"> The authors observed that while formulary restrictions often lead to lower drug spending, they were accompanied by increases to inpatient and outpatient medical care that outweighed savings achieved on prescription drugs.</w:t>
      </w:r>
      <w:r w:rsidR="008E5CBB" w:rsidRPr="00D002D6">
        <w:rPr>
          <w:rStyle w:val="FootnoteReference"/>
          <w:rFonts w:ascii="Cambria" w:hAnsi="Cambria" w:cs="Times New Roman"/>
        </w:rPr>
        <w:footnoteReference w:id="8"/>
      </w:r>
      <w:r w:rsidRPr="00D002D6">
        <w:rPr>
          <w:rFonts w:ascii="Cambria" w:hAnsi="Cambria" w:cs="Times New Roman"/>
        </w:rPr>
        <w:t xml:space="preserve"> They also found evidence to suggest that formulary restrictions led to increased rates of nonadherence, especially among older beneficiaries.</w:t>
      </w:r>
      <w:r w:rsidR="008E5CBB" w:rsidRPr="00D002D6">
        <w:rPr>
          <w:rStyle w:val="FootnoteReference"/>
          <w:rFonts w:ascii="Cambria" w:hAnsi="Cambria" w:cs="Times New Roman"/>
        </w:rPr>
        <w:footnoteReference w:id="9"/>
      </w:r>
      <w:r w:rsidRPr="00D002D6">
        <w:rPr>
          <w:rFonts w:ascii="Cambria" w:hAnsi="Cambria" w:cs="Times New Roman"/>
        </w:rPr>
        <w:t xml:space="preserve"> The authors further noted that studies indicate </w:t>
      </w:r>
      <w:r w:rsidR="004B47CD" w:rsidRPr="00D002D6">
        <w:rPr>
          <w:rFonts w:ascii="Cambria" w:hAnsi="Cambria" w:cs="Times New Roman"/>
        </w:rPr>
        <w:t xml:space="preserve">patients who were less adherent or who switched their therapies had higher hospitalization rates with longer stays. </w:t>
      </w:r>
    </w:p>
    <w:p w14:paraId="61BA9C72" w14:textId="77777777" w:rsidR="00B567F8" w:rsidRPr="00D002D6" w:rsidRDefault="00B567F8" w:rsidP="00B567F8">
      <w:pPr>
        <w:spacing w:after="0" w:line="276" w:lineRule="auto"/>
        <w:ind w:firstLine="720"/>
        <w:jc w:val="both"/>
        <w:rPr>
          <w:rFonts w:ascii="Cambria" w:hAnsi="Cambria" w:cs="Times New Roman"/>
        </w:rPr>
      </w:pPr>
    </w:p>
    <w:p w14:paraId="36DD58C6" w14:textId="4F10B2EE" w:rsidR="00E74CFE" w:rsidRDefault="00E74CFE" w:rsidP="006937BA">
      <w:pPr>
        <w:pStyle w:val="SectionHeading"/>
      </w:pPr>
      <w:r w:rsidRPr="00D002D6">
        <w:t xml:space="preserve">History of Support for the Protected Classes </w:t>
      </w:r>
    </w:p>
    <w:p w14:paraId="4EAD356B" w14:textId="77777777" w:rsidR="00B567F8" w:rsidRPr="00D002D6" w:rsidRDefault="00B567F8" w:rsidP="00B567F8">
      <w:pPr>
        <w:spacing w:after="0" w:line="276" w:lineRule="auto"/>
        <w:jc w:val="both"/>
        <w:rPr>
          <w:rFonts w:ascii="Cambria" w:hAnsi="Cambria" w:cs="Times New Roman"/>
          <w:b/>
          <w:u w:val="single"/>
        </w:rPr>
      </w:pPr>
    </w:p>
    <w:p w14:paraId="6E8FE693" w14:textId="65E7255B"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 xml:space="preserve">When Congress passed the Medicare Modernization Act of 2003 (MMA), it sought to ensure that all individuals would have access to robust prescription drug benefits, regardless of their clinical </w:t>
      </w:r>
      <w:r w:rsidRPr="00D002D6">
        <w:rPr>
          <w:rFonts w:ascii="Cambria" w:hAnsi="Cambria" w:cs="Times New Roman"/>
        </w:rPr>
        <w:lastRenderedPageBreak/>
        <w:t>conditions.</w:t>
      </w:r>
      <w:r w:rsidR="008E5CBB" w:rsidRPr="00D002D6">
        <w:rPr>
          <w:rStyle w:val="FootnoteReference"/>
          <w:rFonts w:ascii="Cambria" w:hAnsi="Cambria" w:cs="Times New Roman"/>
        </w:rPr>
        <w:footnoteReference w:id="10"/>
      </w:r>
      <w:r w:rsidRPr="00D002D6">
        <w:rPr>
          <w:rFonts w:ascii="Cambria" w:hAnsi="Cambria" w:cs="Times New Roman"/>
        </w:rPr>
        <w:t xml:space="preserve"> To that end, the MMA forbade an approved prescription drug plan (PDP) from having a design and formulary that was “likely to substantially discourage enrollment” by certain classes of patients.</w:t>
      </w:r>
      <w:r w:rsidR="008E5CBB" w:rsidRPr="00D002D6">
        <w:rPr>
          <w:rStyle w:val="FootnoteReference"/>
          <w:rFonts w:ascii="Cambria" w:hAnsi="Cambria" w:cs="Times New Roman"/>
        </w:rPr>
        <w:footnoteReference w:id="11"/>
      </w:r>
      <w:r w:rsidRPr="00D002D6">
        <w:rPr>
          <w:rFonts w:ascii="Cambria" w:hAnsi="Cambria" w:cs="Times New Roman"/>
        </w:rPr>
        <w:t xml:space="preserve"> Furthermore, in a Senate colloquy just before the enactment of the MMA, Senators repeatedly emphasized the importance of safeguards, including the protected classes, available to beneficiaries who need “exactly the right med</w:t>
      </w:r>
      <w:r w:rsidR="008E5CBB" w:rsidRPr="00D002D6">
        <w:rPr>
          <w:rFonts w:ascii="Cambria" w:hAnsi="Cambria" w:cs="Times New Roman"/>
        </w:rPr>
        <w:t>icine for them.”</w:t>
      </w:r>
      <w:r w:rsidR="008E5CBB" w:rsidRPr="00D002D6">
        <w:rPr>
          <w:rStyle w:val="FootnoteReference"/>
          <w:rFonts w:ascii="Cambria" w:hAnsi="Cambria" w:cs="Times New Roman"/>
        </w:rPr>
        <w:footnoteReference w:id="12"/>
      </w:r>
      <w:r w:rsidRPr="00D002D6">
        <w:rPr>
          <w:rFonts w:ascii="Cambria" w:hAnsi="Cambria" w:cs="Times New Roman"/>
        </w:rPr>
        <w:t xml:space="preserve"> </w:t>
      </w:r>
    </w:p>
    <w:p w14:paraId="6F910BF1" w14:textId="77777777" w:rsidR="00B567F8" w:rsidRPr="00D002D6" w:rsidRDefault="00B567F8" w:rsidP="00B567F8">
      <w:pPr>
        <w:spacing w:after="0" w:line="276" w:lineRule="auto"/>
        <w:ind w:firstLine="720"/>
        <w:jc w:val="both"/>
        <w:rPr>
          <w:rFonts w:ascii="Cambria" w:hAnsi="Cambria" w:cs="Times New Roman"/>
        </w:rPr>
      </w:pPr>
    </w:p>
    <w:p w14:paraId="4B643E83" w14:textId="652FEA67"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 xml:space="preserve">To implement the MMA statutory requirements, CMS issued </w:t>
      </w:r>
      <w:proofErr w:type="spellStart"/>
      <w:r w:rsidRPr="00D002D6">
        <w:rPr>
          <w:rFonts w:ascii="Cambria" w:hAnsi="Cambria" w:cs="Times New Roman"/>
        </w:rPr>
        <w:t>subregulatory</w:t>
      </w:r>
      <w:proofErr w:type="spellEnd"/>
      <w:r w:rsidRPr="00D002D6">
        <w:rPr>
          <w:rFonts w:ascii="Cambria" w:hAnsi="Cambria" w:cs="Times New Roman"/>
        </w:rPr>
        <w:t xml:space="preserve"> guidance in 2005, specifying that plans cover “all or substantially all” of the drugs in six categories: antidepressants, antipsychotics, anticonvulsants, </w:t>
      </w:r>
      <w:proofErr w:type="spellStart"/>
      <w:r w:rsidRPr="00D002D6">
        <w:rPr>
          <w:rFonts w:ascii="Cambria" w:hAnsi="Cambria" w:cs="Times New Roman"/>
        </w:rPr>
        <w:t>antineoplastics</w:t>
      </w:r>
      <w:proofErr w:type="spellEnd"/>
      <w:r w:rsidRPr="00D002D6">
        <w:rPr>
          <w:rFonts w:ascii="Cambria" w:hAnsi="Cambria" w:cs="Times New Roman"/>
        </w:rPr>
        <w:t xml:space="preserve">, antiretrovirals and immunosuppressants. These categories became known as the classes of “clinical concern” or “six protected classes.” CMS stated that it had a responsibility to ensure Medicare beneficiaries received clinically appropriate medications and had “uninterrupted access” </w:t>
      </w:r>
      <w:r w:rsidR="008E5CBB" w:rsidRPr="00D002D6">
        <w:rPr>
          <w:rFonts w:ascii="Cambria" w:hAnsi="Cambria" w:cs="Times New Roman"/>
        </w:rPr>
        <w:t>to all drugs in these classes.</w:t>
      </w:r>
      <w:r w:rsidR="008E5CBB" w:rsidRPr="00D002D6">
        <w:rPr>
          <w:rStyle w:val="FootnoteReference"/>
          <w:rFonts w:ascii="Cambria" w:hAnsi="Cambria" w:cs="Times New Roman"/>
        </w:rPr>
        <w:footnoteReference w:id="13"/>
      </w:r>
      <w:r w:rsidRPr="00D002D6">
        <w:rPr>
          <w:rFonts w:ascii="Cambria" w:hAnsi="Cambria" w:cs="Times New Roman"/>
        </w:rPr>
        <w:t xml:space="preserve"> For beneficiaries already stabilized on a drug in these categories, CMS’ expectation was that plans would not use formulary management techniques, such as prior authorization or step therapy, absent</w:t>
      </w:r>
      <w:r w:rsidR="008E5CBB" w:rsidRPr="00D002D6">
        <w:rPr>
          <w:rFonts w:ascii="Cambria" w:hAnsi="Cambria" w:cs="Times New Roman"/>
        </w:rPr>
        <w:t xml:space="preserve"> “extraordinary circumstances.”</w:t>
      </w:r>
      <w:r w:rsidR="008E5CBB" w:rsidRPr="00D002D6">
        <w:rPr>
          <w:rStyle w:val="FootnoteReference"/>
          <w:rFonts w:ascii="Cambria" w:hAnsi="Cambria" w:cs="Times New Roman"/>
        </w:rPr>
        <w:footnoteReference w:id="14"/>
      </w:r>
    </w:p>
    <w:p w14:paraId="272802B1" w14:textId="77777777" w:rsidR="00B567F8" w:rsidRPr="00D002D6" w:rsidRDefault="00B567F8" w:rsidP="00B567F8">
      <w:pPr>
        <w:spacing w:after="0" w:line="276" w:lineRule="auto"/>
        <w:ind w:firstLine="720"/>
        <w:jc w:val="both"/>
        <w:rPr>
          <w:rFonts w:ascii="Cambria" w:hAnsi="Cambria" w:cs="Times New Roman"/>
        </w:rPr>
      </w:pPr>
    </w:p>
    <w:p w14:paraId="1A5A98EB" w14:textId="70F2C9F2"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In 2008, Congress passed the Medicare Improvements for Patients and Providers Act (MIPPA), which included language affect</w:t>
      </w:r>
      <w:r w:rsidR="008E5CBB" w:rsidRPr="00D002D6">
        <w:rPr>
          <w:rFonts w:ascii="Cambria" w:hAnsi="Cambria" w:cs="Times New Roman"/>
        </w:rPr>
        <w:t>ing the six protected classes.</w:t>
      </w:r>
      <w:r w:rsidR="008E5CBB" w:rsidRPr="00D002D6">
        <w:rPr>
          <w:rStyle w:val="FootnoteReference"/>
          <w:rFonts w:ascii="Cambria" w:hAnsi="Cambria" w:cs="Times New Roman"/>
        </w:rPr>
        <w:footnoteReference w:id="15"/>
      </w:r>
      <w:r w:rsidR="008E5CBB" w:rsidRPr="00D002D6">
        <w:rPr>
          <w:rFonts w:ascii="Cambria" w:hAnsi="Cambria" w:cs="Times New Roman"/>
        </w:rPr>
        <w:t xml:space="preserve"> </w:t>
      </w:r>
      <w:r w:rsidRPr="00D002D6">
        <w:rPr>
          <w:rFonts w:ascii="Cambria" w:hAnsi="Cambria" w:cs="Times New Roman"/>
        </w:rPr>
        <w:t>Section 176 of MIPPA required the Secretary of Health and Human Services (HHS) to establish a process for determining the appropriate categories and classes of protected drugs, beginning with plan year 2010. MIPPA replaced CMS’ “substantially all” standard, instead requiring that “all” drugs in the p</w:t>
      </w:r>
      <w:r w:rsidR="001E78ED" w:rsidRPr="00D002D6">
        <w:rPr>
          <w:rFonts w:ascii="Cambria" w:hAnsi="Cambria" w:cs="Times New Roman"/>
        </w:rPr>
        <w:t>rotected classes be covered.</w:t>
      </w:r>
      <w:r w:rsidR="001E78ED" w:rsidRPr="00D002D6">
        <w:rPr>
          <w:rStyle w:val="FootnoteReference"/>
          <w:rFonts w:ascii="Cambria" w:hAnsi="Cambria" w:cs="Times New Roman"/>
        </w:rPr>
        <w:footnoteReference w:id="16"/>
      </w:r>
    </w:p>
    <w:p w14:paraId="1555D655" w14:textId="77777777" w:rsidR="00B567F8" w:rsidRPr="00D002D6" w:rsidRDefault="00B567F8" w:rsidP="00B567F8">
      <w:pPr>
        <w:spacing w:after="0" w:line="276" w:lineRule="auto"/>
        <w:ind w:firstLine="720"/>
        <w:jc w:val="both"/>
        <w:rPr>
          <w:rFonts w:ascii="Cambria" w:hAnsi="Cambria" w:cs="Times New Roman"/>
        </w:rPr>
      </w:pPr>
    </w:p>
    <w:p w14:paraId="1FC49293" w14:textId="2D3A34D0" w:rsidR="00E74CFE" w:rsidRDefault="00E74CFE" w:rsidP="00B567F8">
      <w:pPr>
        <w:spacing w:after="0" w:line="276" w:lineRule="auto"/>
        <w:ind w:firstLine="720"/>
        <w:jc w:val="both"/>
        <w:rPr>
          <w:rFonts w:ascii="Cambria" w:hAnsi="Cambria" w:cs="Times New Roman"/>
        </w:rPr>
      </w:pPr>
      <w:r w:rsidRPr="00D002D6">
        <w:rPr>
          <w:rFonts w:ascii="Cambria" w:hAnsi="Cambria" w:cs="Times New Roman"/>
        </w:rPr>
        <w:t>When the Affordable Care Act (ACA)</w:t>
      </w:r>
      <w:r w:rsidR="001E78ED" w:rsidRPr="00D002D6">
        <w:rPr>
          <w:rStyle w:val="FootnoteReference"/>
          <w:rFonts w:ascii="Cambria" w:hAnsi="Cambria" w:cs="Times New Roman"/>
        </w:rPr>
        <w:footnoteReference w:id="17"/>
      </w:r>
      <w:r w:rsidRPr="00D002D6">
        <w:rPr>
          <w:rFonts w:ascii="Cambria" w:hAnsi="Cambria" w:cs="Times New Roman"/>
        </w:rPr>
        <w:t xml:space="preserve"> was enacted in 2010, again there were provisions related to the six protected classes. Section 3307 of the ACA required the HHS Secretary to identify categories and classes of drugs that are of clinical concern through the promulgation of regulations, including a notice and comment period. In addition, for the first time, the existing six prot</w:t>
      </w:r>
      <w:r w:rsidR="001E78ED" w:rsidRPr="00D002D6">
        <w:rPr>
          <w:rFonts w:ascii="Cambria" w:hAnsi="Cambria" w:cs="Times New Roman"/>
        </w:rPr>
        <w:t xml:space="preserve">ected </w:t>
      </w:r>
      <w:r w:rsidRPr="00D002D6">
        <w:rPr>
          <w:rFonts w:ascii="Cambria" w:hAnsi="Cambria" w:cs="Times New Roman"/>
        </w:rPr>
        <w:t xml:space="preserve">classes were recognized in statute. </w:t>
      </w:r>
      <w:proofErr w:type="gramStart"/>
      <w:r w:rsidRPr="00D002D6">
        <w:rPr>
          <w:rFonts w:ascii="Cambria" w:hAnsi="Cambria" w:cs="Times New Roman"/>
        </w:rPr>
        <w:t>Also</w:t>
      </w:r>
      <w:proofErr w:type="gramEnd"/>
      <w:r w:rsidRPr="00D002D6">
        <w:rPr>
          <w:rFonts w:ascii="Cambria" w:hAnsi="Cambria" w:cs="Times New Roman"/>
        </w:rPr>
        <w:t xml:space="preserve"> of importance, the ACA reiterated that PDP sponsors must cover all drugs</w:t>
      </w:r>
      <w:r w:rsidR="001E78ED" w:rsidRPr="00D002D6">
        <w:rPr>
          <w:rFonts w:ascii="Cambria" w:hAnsi="Cambria" w:cs="Times New Roman"/>
        </w:rPr>
        <w:t xml:space="preserve"> within the protected classes.</w:t>
      </w:r>
      <w:r w:rsidR="001E78ED" w:rsidRPr="00D002D6">
        <w:rPr>
          <w:rStyle w:val="FootnoteReference"/>
          <w:rFonts w:ascii="Cambria" w:hAnsi="Cambria" w:cs="Times New Roman"/>
        </w:rPr>
        <w:footnoteReference w:id="18"/>
      </w:r>
    </w:p>
    <w:p w14:paraId="04E4F904" w14:textId="77777777" w:rsidR="00B567F8" w:rsidRPr="00D002D6" w:rsidRDefault="00B567F8" w:rsidP="00B567F8">
      <w:pPr>
        <w:spacing w:after="0" w:line="276" w:lineRule="auto"/>
        <w:jc w:val="both"/>
        <w:rPr>
          <w:rFonts w:ascii="Cambria" w:hAnsi="Cambria" w:cs="Times New Roman"/>
        </w:rPr>
      </w:pPr>
    </w:p>
    <w:p w14:paraId="20267F48" w14:textId="73612167" w:rsidR="00E74CFE" w:rsidRDefault="001E78ED" w:rsidP="00B567F8">
      <w:pPr>
        <w:spacing w:after="0" w:line="276" w:lineRule="auto"/>
        <w:jc w:val="both"/>
        <w:rPr>
          <w:rFonts w:ascii="Cambria" w:hAnsi="Cambria" w:cs="Times New Roman"/>
        </w:rPr>
      </w:pPr>
      <w:r w:rsidRPr="00D002D6">
        <w:rPr>
          <w:rFonts w:ascii="Cambria" w:hAnsi="Cambria" w:cs="Times New Roman"/>
        </w:rPr>
        <w:tab/>
      </w:r>
      <w:r w:rsidR="00E74CFE" w:rsidRPr="00D002D6">
        <w:rPr>
          <w:rFonts w:ascii="Cambria" w:hAnsi="Cambria" w:cs="Times New Roman"/>
        </w:rPr>
        <w:t xml:space="preserve">In early 2014, CMS proposed sweeping changes to the protected classes requirements within a proposed rule that made policy and technical changes to the Medicare Advantage (MA) and </w:t>
      </w:r>
      <w:r w:rsidR="00E74CFE" w:rsidRPr="00D002D6">
        <w:rPr>
          <w:rFonts w:ascii="Cambria" w:hAnsi="Cambria" w:cs="Times New Roman"/>
        </w:rPr>
        <w:lastRenderedPageBreak/>
        <w:t>prescription drug benefit pr</w:t>
      </w:r>
      <w:r w:rsidRPr="00D002D6">
        <w:rPr>
          <w:rFonts w:ascii="Cambria" w:hAnsi="Cambria" w:cs="Times New Roman"/>
        </w:rPr>
        <w:t>ograms for calendar year 2015.</w:t>
      </w:r>
      <w:r w:rsidRPr="00D002D6">
        <w:rPr>
          <w:rStyle w:val="FootnoteReference"/>
          <w:rFonts w:ascii="Cambria" w:hAnsi="Cambria" w:cs="Times New Roman"/>
        </w:rPr>
        <w:footnoteReference w:id="19"/>
      </w:r>
      <w:r w:rsidR="00E74CFE" w:rsidRPr="00D002D6">
        <w:rPr>
          <w:rFonts w:ascii="Cambria" w:hAnsi="Cambria" w:cs="Times New Roman"/>
        </w:rPr>
        <w:t xml:space="preserve"> Under the proposed rule, CMS would keep only three categories of drugs as protected classes: antiretrovirals, </w:t>
      </w:r>
      <w:proofErr w:type="spellStart"/>
      <w:r w:rsidR="00E74CFE" w:rsidRPr="00D002D6">
        <w:rPr>
          <w:rFonts w:ascii="Cambria" w:hAnsi="Cambria" w:cs="Times New Roman"/>
        </w:rPr>
        <w:t>antineoplastics</w:t>
      </w:r>
      <w:proofErr w:type="spellEnd"/>
      <w:r w:rsidR="00E74CFE" w:rsidRPr="00D002D6">
        <w:rPr>
          <w:rFonts w:ascii="Cambria" w:hAnsi="Cambria" w:cs="Times New Roman"/>
        </w:rPr>
        <w:t>, and anticonvulsants.  It proposed to remove immunosuppressants and antidepressants from the classes of clinical concern in 2015, but to keep antipsychotics for that year only.</w:t>
      </w:r>
    </w:p>
    <w:p w14:paraId="14792729" w14:textId="77777777" w:rsidR="00B567F8" w:rsidRPr="00D002D6" w:rsidRDefault="00B567F8" w:rsidP="00B567F8">
      <w:pPr>
        <w:spacing w:after="0" w:line="276" w:lineRule="auto"/>
        <w:jc w:val="both"/>
        <w:rPr>
          <w:rFonts w:ascii="Cambria" w:hAnsi="Cambria" w:cs="Times New Roman"/>
        </w:rPr>
      </w:pPr>
    </w:p>
    <w:p w14:paraId="59FBDB3D" w14:textId="73B34093" w:rsidR="00E74CFE" w:rsidRDefault="001E78ED" w:rsidP="00B567F8">
      <w:pPr>
        <w:spacing w:after="0" w:line="276" w:lineRule="auto"/>
        <w:jc w:val="both"/>
        <w:rPr>
          <w:rFonts w:ascii="Cambria" w:hAnsi="Cambria" w:cs="Times New Roman"/>
        </w:rPr>
      </w:pPr>
      <w:r w:rsidRPr="00D002D6">
        <w:rPr>
          <w:rFonts w:ascii="Cambria" w:hAnsi="Cambria" w:cs="Times New Roman"/>
        </w:rPr>
        <w:tab/>
      </w:r>
      <w:r w:rsidR="00E74CFE" w:rsidRPr="00D002D6">
        <w:rPr>
          <w:rFonts w:ascii="Cambria" w:hAnsi="Cambria" w:cs="Times New Roman"/>
        </w:rPr>
        <w:t>The proposed regulation was met with extraordinary opposition by Congress, patient groups and others concerned with access to medications for Medicare beneficiaries. All members of the Senate Finance Committee wrote to HHS opposing the proposed redefinition of the protected classes and said they were unconvinced that c</w:t>
      </w:r>
      <w:r w:rsidRPr="00D002D6">
        <w:rPr>
          <w:rFonts w:ascii="Cambria" w:hAnsi="Cambria" w:cs="Times New Roman"/>
        </w:rPr>
        <w:t>ost savings would materialize.</w:t>
      </w:r>
      <w:r w:rsidRPr="00D002D6">
        <w:rPr>
          <w:rStyle w:val="FootnoteReference"/>
          <w:rFonts w:ascii="Cambria" w:hAnsi="Cambria" w:cs="Times New Roman"/>
        </w:rPr>
        <w:footnoteReference w:id="20"/>
      </w:r>
      <w:r w:rsidR="00E74CFE" w:rsidRPr="00D002D6">
        <w:rPr>
          <w:rFonts w:ascii="Cambria" w:hAnsi="Cambria" w:cs="Times New Roman"/>
        </w:rPr>
        <w:t xml:space="preserve"> Fifty bipartisan members of the House Ways &amp; Means and Energy &amp; Commerce Committees wrote to oppose the proposal, saying it would “place harmful limits on Medicare beneficiaries’ access to necessary medications th</w:t>
      </w:r>
      <w:r w:rsidRPr="00D002D6">
        <w:rPr>
          <w:rFonts w:ascii="Cambria" w:hAnsi="Cambria" w:cs="Times New Roman"/>
        </w:rPr>
        <w:t>at would otherwise be covered.”</w:t>
      </w:r>
      <w:r w:rsidRPr="00D002D6">
        <w:rPr>
          <w:rStyle w:val="FootnoteReference"/>
          <w:rFonts w:ascii="Cambria" w:hAnsi="Cambria" w:cs="Times New Roman"/>
        </w:rPr>
        <w:footnoteReference w:id="21"/>
      </w:r>
      <w:r w:rsidR="00E74CFE" w:rsidRPr="00D002D6">
        <w:rPr>
          <w:rFonts w:ascii="Cambria" w:hAnsi="Cambria" w:cs="Times New Roman"/>
        </w:rPr>
        <w:t xml:space="preserve"> Well over 1,400 comments were submitted by patient organizations, medical guilds, and other patient-focused groups to CMS opposing the change.</w:t>
      </w:r>
    </w:p>
    <w:p w14:paraId="5B41816F" w14:textId="77777777" w:rsidR="00B567F8" w:rsidRPr="00D002D6" w:rsidRDefault="00B567F8" w:rsidP="00B567F8">
      <w:pPr>
        <w:spacing w:after="0" w:line="276" w:lineRule="auto"/>
        <w:jc w:val="both"/>
        <w:rPr>
          <w:rFonts w:ascii="Cambria" w:hAnsi="Cambria" w:cs="Times New Roman"/>
        </w:rPr>
      </w:pPr>
    </w:p>
    <w:p w14:paraId="33963A61" w14:textId="3EC136F9" w:rsidR="00E74CFE" w:rsidRDefault="001E78ED" w:rsidP="00B567F8">
      <w:pPr>
        <w:spacing w:after="0" w:line="276" w:lineRule="auto"/>
        <w:jc w:val="both"/>
        <w:rPr>
          <w:rFonts w:ascii="Cambria" w:hAnsi="Cambria" w:cs="Times New Roman"/>
        </w:rPr>
      </w:pPr>
      <w:r w:rsidRPr="00D002D6">
        <w:rPr>
          <w:rFonts w:ascii="Cambria" w:hAnsi="Cambria" w:cs="Times New Roman"/>
        </w:rPr>
        <w:tab/>
      </w:r>
      <w:r w:rsidR="00E74CFE" w:rsidRPr="00D002D6">
        <w:rPr>
          <w:rFonts w:ascii="Cambria" w:hAnsi="Cambria" w:cs="Times New Roman"/>
        </w:rPr>
        <w:t>Ultimately, CMS did not finalize the proposed rule, stating it “did not strike the balance among beneficiary access, quality assurance, cost containment and patient welfare</w:t>
      </w:r>
      <w:r w:rsidRPr="00D002D6">
        <w:rPr>
          <w:rFonts w:ascii="Cambria" w:hAnsi="Cambria" w:cs="Times New Roman"/>
        </w:rPr>
        <w:t>” that it had hoped to achieve.</w:t>
      </w:r>
      <w:r w:rsidRPr="00D002D6">
        <w:rPr>
          <w:rStyle w:val="FootnoteReference"/>
          <w:rFonts w:ascii="Cambria" w:hAnsi="Cambria" w:cs="Times New Roman"/>
        </w:rPr>
        <w:footnoteReference w:id="22"/>
      </w:r>
      <w:r w:rsidR="00E74CFE" w:rsidRPr="00D002D6">
        <w:rPr>
          <w:rFonts w:ascii="Cambria" w:hAnsi="Cambria" w:cs="Times New Roman"/>
        </w:rPr>
        <w:t xml:space="preserve"> Instead, in its final rule CMS stated that categories and classes of drugs of clinical concern would continue to be the six enumerated in the ACA until such time as the agency could undertake rulemaki</w:t>
      </w:r>
      <w:r w:rsidRPr="00D002D6">
        <w:rPr>
          <w:rFonts w:ascii="Cambria" w:hAnsi="Cambria" w:cs="Times New Roman"/>
        </w:rPr>
        <w:t>ng to establish new criteria.</w:t>
      </w:r>
      <w:r w:rsidRPr="00D002D6">
        <w:rPr>
          <w:rStyle w:val="FootnoteReference"/>
          <w:rFonts w:ascii="Cambria" w:hAnsi="Cambria" w:cs="Times New Roman"/>
        </w:rPr>
        <w:footnoteReference w:id="23"/>
      </w:r>
    </w:p>
    <w:p w14:paraId="16219A57" w14:textId="6E28A333" w:rsidR="00B567F8" w:rsidRDefault="00B567F8" w:rsidP="00B567F8">
      <w:pPr>
        <w:spacing w:after="0" w:line="276" w:lineRule="auto"/>
        <w:jc w:val="both"/>
        <w:rPr>
          <w:rFonts w:ascii="Cambria" w:hAnsi="Cambria" w:cs="Times New Roman"/>
        </w:rPr>
      </w:pPr>
    </w:p>
    <w:p w14:paraId="2809CB19" w14:textId="403FC4ED" w:rsidR="006937BA" w:rsidRDefault="006937BA" w:rsidP="006937BA">
      <w:pPr>
        <w:pStyle w:val="SectionHeading"/>
      </w:pPr>
      <w:r>
        <w:t>Conclusion</w:t>
      </w:r>
    </w:p>
    <w:p w14:paraId="22A6A585" w14:textId="77777777" w:rsidR="006937BA" w:rsidRPr="00D002D6" w:rsidRDefault="006937BA" w:rsidP="00B567F8">
      <w:pPr>
        <w:spacing w:after="0" w:line="276" w:lineRule="auto"/>
        <w:jc w:val="both"/>
        <w:rPr>
          <w:rFonts w:ascii="Cambria" w:hAnsi="Cambria" w:cs="Times New Roman"/>
        </w:rPr>
      </w:pPr>
    </w:p>
    <w:p w14:paraId="31557626" w14:textId="3626DA22" w:rsidR="00E74CFE" w:rsidRPr="00D002D6" w:rsidRDefault="001E78ED" w:rsidP="00B567F8">
      <w:pPr>
        <w:spacing w:after="0" w:line="276" w:lineRule="auto"/>
        <w:jc w:val="both"/>
        <w:rPr>
          <w:rFonts w:ascii="Cambria" w:hAnsi="Cambria" w:cs="Times New Roman"/>
        </w:rPr>
      </w:pPr>
      <w:r w:rsidRPr="00D002D6">
        <w:rPr>
          <w:rFonts w:ascii="Cambria" w:hAnsi="Cambria" w:cs="Times New Roman"/>
        </w:rPr>
        <w:tab/>
      </w:r>
      <w:r w:rsidR="00E74CFE" w:rsidRPr="00D002D6">
        <w:rPr>
          <w:rFonts w:ascii="Cambria" w:hAnsi="Cambria" w:cs="Times New Roman"/>
        </w:rPr>
        <w:t xml:space="preserve">As represented by the diversity of organizations signing this letter, the Part D program has been both popular among Medicare beneficiaries and successful in providing affordable drug coverage to them.  We ask HHS to support retaining the six protected classes in their present form as the Department examines ways to address drug pricing and benefit design. Further, </w:t>
      </w:r>
      <w:r w:rsidR="00BA4C2B" w:rsidRPr="00D002D6">
        <w:rPr>
          <w:rFonts w:ascii="Cambria" w:hAnsi="Cambria" w:cs="Times New Roman"/>
        </w:rPr>
        <w:t xml:space="preserve">the organizations represented on this letter </w:t>
      </w:r>
      <w:r w:rsidR="00E74CFE" w:rsidRPr="00D002D6">
        <w:rPr>
          <w:rFonts w:ascii="Cambria" w:hAnsi="Cambria" w:cs="Times New Roman"/>
        </w:rPr>
        <w:t>welcome the opportunity to meet with you in person to discuss this important issue.</w:t>
      </w:r>
    </w:p>
    <w:p w14:paraId="36A26C31" w14:textId="77777777" w:rsidR="00E74CFE" w:rsidRPr="00D002D6" w:rsidRDefault="00E74CFE" w:rsidP="00B567F8">
      <w:pPr>
        <w:spacing w:after="0" w:line="276" w:lineRule="auto"/>
        <w:jc w:val="both"/>
        <w:rPr>
          <w:rFonts w:ascii="Cambria" w:hAnsi="Cambria" w:cs="Times New Roman"/>
        </w:rPr>
      </w:pPr>
      <w:r w:rsidRPr="00D002D6">
        <w:rPr>
          <w:rFonts w:ascii="Cambria" w:hAnsi="Cambria" w:cs="Times New Roman"/>
        </w:rPr>
        <w:t xml:space="preserve"> </w:t>
      </w:r>
    </w:p>
    <w:p w14:paraId="3F4626DE" w14:textId="014DECCB" w:rsidR="0083484C" w:rsidRDefault="00E74CFE" w:rsidP="00B567F8">
      <w:pPr>
        <w:spacing w:after="0" w:line="276" w:lineRule="auto"/>
        <w:jc w:val="both"/>
        <w:rPr>
          <w:rFonts w:ascii="Cambria" w:hAnsi="Cambria" w:cs="Times New Roman"/>
        </w:rPr>
      </w:pPr>
      <w:r w:rsidRPr="00D002D6">
        <w:rPr>
          <w:rFonts w:ascii="Cambria" w:hAnsi="Cambria" w:cs="Times New Roman"/>
        </w:rPr>
        <w:t>Sincerely,</w:t>
      </w:r>
    </w:p>
    <w:p w14:paraId="113C64F1"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ADAP Advocacy Association </w:t>
      </w:r>
    </w:p>
    <w:p w14:paraId="54F92FD1"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AIDS Action - Baltimore</w:t>
      </w:r>
    </w:p>
    <w:p w14:paraId="76AC3C9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AIDS Research Consortium of Atlanta</w:t>
      </w:r>
    </w:p>
    <w:p w14:paraId="489D5AA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AIDS United </w:t>
      </w:r>
    </w:p>
    <w:p w14:paraId="57AA8A0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Advocates for Responsible Care</w:t>
      </w:r>
    </w:p>
    <w:p w14:paraId="447D5F6B"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Alameda Council of Community Mental Health Agencies </w:t>
      </w:r>
    </w:p>
    <w:p w14:paraId="18C26CE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Alliance for Patient Access </w:t>
      </w:r>
    </w:p>
    <w:p w14:paraId="75D8BC5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Alliance for Patient Care</w:t>
      </w:r>
    </w:p>
    <w:p w14:paraId="16BF7C4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lastRenderedPageBreak/>
        <w:t xml:space="preserve">American Academy of HIV Medicine </w:t>
      </w:r>
    </w:p>
    <w:p w14:paraId="4B0F7BB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American Association for Psychoanalysis in Clinical Social Work </w:t>
      </w:r>
    </w:p>
    <w:p w14:paraId="2C093594"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American Association </w:t>
      </w:r>
      <w:proofErr w:type="spellStart"/>
      <w:r w:rsidRPr="00A600C8">
        <w:rPr>
          <w:rFonts w:ascii="Cambria" w:hAnsi="Cambria" w:cs="Times New Roman"/>
        </w:rPr>
        <w:t>on</w:t>
      </w:r>
      <w:proofErr w:type="spellEnd"/>
      <w:r w:rsidRPr="00A600C8">
        <w:rPr>
          <w:rFonts w:ascii="Cambria" w:hAnsi="Cambria" w:cs="Times New Roman"/>
        </w:rPr>
        <w:t xml:space="preserve"> Health and Disability </w:t>
      </w:r>
    </w:p>
    <w:p w14:paraId="7859476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American Cancer Society Cancer Action Network</w:t>
      </w:r>
    </w:p>
    <w:p w14:paraId="1415360D"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American Dance Therapy Association</w:t>
      </w:r>
    </w:p>
    <w:p w14:paraId="0CC75F7A" w14:textId="77777777" w:rsidR="00A600C8" w:rsidRPr="00A600C8" w:rsidRDefault="00A600C8" w:rsidP="00A600C8">
      <w:pPr>
        <w:spacing w:after="0" w:line="276" w:lineRule="auto"/>
        <w:jc w:val="both"/>
        <w:rPr>
          <w:rFonts w:ascii="Cambria" w:hAnsi="Cambria" w:cs="Times New Roman"/>
        </w:rPr>
      </w:pPr>
      <w:proofErr w:type="spellStart"/>
      <w:r w:rsidRPr="00A600C8">
        <w:rPr>
          <w:rFonts w:ascii="Cambria" w:hAnsi="Cambria" w:cs="Times New Roman"/>
        </w:rPr>
        <w:t>Ameican</w:t>
      </w:r>
      <w:proofErr w:type="spellEnd"/>
      <w:r w:rsidRPr="00A600C8">
        <w:rPr>
          <w:rFonts w:ascii="Cambria" w:hAnsi="Cambria" w:cs="Times New Roman"/>
        </w:rPr>
        <w:t xml:space="preserve"> Foundation for Suicide Prevention</w:t>
      </w:r>
    </w:p>
    <w:p w14:paraId="57A67B2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American Psychological Association</w:t>
      </w:r>
    </w:p>
    <w:p w14:paraId="28CE501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American Society of Consultant Pharmacists </w:t>
      </w:r>
    </w:p>
    <w:p w14:paraId="0DE4726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American Society of Transplantation </w:t>
      </w:r>
    </w:p>
    <w:p w14:paraId="1005BBA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American Society of Transplant Surgeons</w:t>
      </w:r>
    </w:p>
    <w:p w14:paraId="46FCAE2A"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Association for Ambulatory Behavioral Healthcare </w:t>
      </w:r>
    </w:p>
    <w:p w14:paraId="66B2597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Anxiety and Depression Association of America </w:t>
      </w:r>
    </w:p>
    <w:p w14:paraId="631E629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Association of Northern California Oncologists </w:t>
      </w:r>
    </w:p>
    <w:p w14:paraId="1FB96EE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Bailey House, Inc.</w:t>
      </w:r>
    </w:p>
    <w:p w14:paraId="27E0A6A1"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California Chronic Care Coalition</w:t>
      </w:r>
    </w:p>
    <w:p w14:paraId="70653AFD"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California Council for the Advancement of Pharmacy</w:t>
      </w:r>
    </w:p>
    <w:p w14:paraId="7694E734"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California Hepatitis C Task Force</w:t>
      </w:r>
    </w:p>
    <w:p w14:paraId="4976BA4A" w14:textId="77777777" w:rsidR="00A600C8" w:rsidRPr="00A600C8" w:rsidRDefault="00A600C8" w:rsidP="00A600C8">
      <w:pPr>
        <w:spacing w:after="0" w:line="276" w:lineRule="auto"/>
        <w:jc w:val="both"/>
        <w:rPr>
          <w:rFonts w:ascii="Cambria" w:hAnsi="Cambria" w:cs="Times New Roman"/>
        </w:rPr>
      </w:pPr>
      <w:proofErr w:type="spellStart"/>
      <w:r w:rsidRPr="00A600C8">
        <w:rPr>
          <w:rFonts w:ascii="Cambria" w:hAnsi="Cambria" w:cs="Times New Roman"/>
        </w:rPr>
        <w:t>CancerCare</w:t>
      </w:r>
      <w:proofErr w:type="spellEnd"/>
    </w:p>
    <w:p w14:paraId="6AD5813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Cancer Support Community</w:t>
      </w:r>
    </w:p>
    <w:p w14:paraId="1BCB477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Caregiver Action Network </w:t>
      </w:r>
    </w:p>
    <w:p w14:paraId="60817F7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Clinical Social Work Association</w:t>
      </w:r>
    </w:p>
    <w:p w14:paraId="6303CCE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College of Psychiatric and Neurologic </w:t>
      </w:r>
      <w:proofErr w:type="spellStart"/>
      <w:r w:rsidRPr="00A600C8">
        <w:rPr>
          <w:rFonts w:ascii="Cambria" w:hAnsi="Cambria" w:cs="Times New Roman"/>
        </w:rPr>
        <w:t>Phamacists</w:t>
      </w:r>
      <w:proofErr w:type="spellEnd"/>
    </w:p>
    <w:p w14:paraId="23D8772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Colorado Organizations and Individuals Living with HIV/AIDS</w:t>
      </w:r>
    </w:p>
    <w:p w14:paraId="425F3C8D"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Community Access National Network </w:t>
      </w:r>
    </w:p>
    <w:p w14:paraId="5AA2C7F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Depression and Bipolar Support Alliance </w:t>
      </w:r>
    </w:p>
    <w:p w14:paraId="31DE00E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w:t>
      </w:r>
    </w:p>
    <w:p w14:paraId="2CD69F2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Alabama</w:t>
      </w:r>
    </w:p>
    <w:p w14:paraId="40A3615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Arizona</w:t>
      </w:r>
    </w:p>
    <w:p w14:paraId="56DA5B3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California</w:t>
      </w:r>
    </w:p>
    <w:p w14:paraId="11E921B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Colorado</w:t>
      </w:r>
    </w:p>
    <w:p w14:paraId="37BE7AAA"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Florida</w:t>
      </w:r>
    </w:p>
    <w:p w14:paraId="21748CC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Greater Dayton Region</w:t>
      </w:r>
    </w:p>
    <w:p w14:paraId="0F4A3B1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Hawaii</w:t>
      </w:r>
    </w:p>
    <w:p w14:paraId="2DC89D3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Indiana</w:t>
      </w:r>
    </w:p>
    <w:p w14:paraId="04434C7A"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Iowa</w:t>
      </w:r>
    </w:p>
    <w:p w14:paraId="24D9987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Epilepsy Foundation of </w:t>
      </w:r>
      <w:proofErr w:type="spellStart"/>
      <w:r w:rsidRPr="00A600C8">
        <w:rPr>
          <w:rFonts w:ascii="Cambria" w:hAnsi="Cambria" w:cs="Times New Roman"/>
        </w:rPr>
        <w:t>Kentuckiana</w:t>
      </w:r>
      <w:proofErr w:type="spellEnd"/>
    </w:p>
    <w:p w14:paraId="4ABB1D9E"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Long Island</w:t>
      </w:r>
    </w:p>
    <w:p w14:paraId="076C1111"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Metropolitan Washington</w:t>
      </w:r>
    </w:p>
    <w:p w14:paraId="57D7646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Michigan</w:t>
      </w:r>
    </w:p>
    <w:p w14:paraId="7D33E29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Middle and West Tennessee</w:t>
      </w:r>
    </w:p>
    <w:p w14:paraId="4A87A70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Minnesota</w:t>
      </w:r>
    </w:p>
    <w:p w14:paraId="511F5CA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Mississippi</w:t>
      </w:r>
    </w:p>
    <w:p w14:paraId="3B31895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Nevada</w:t>
      </w:r>
    </w:p>
    <w:p w14:paraId="766DD9CA"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lastRenderedPageBreak/>
        <w:t>Epilepsy Foundation New England</w:t>
      </w:r>
    </w:p>
    <w:p w14:paraId="6F4913C4"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Northwest</w:t>
      </w:r>
    </w:p>
    <w:p w14:paraId="618829EE"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North/Central Illinois</w:t>
      </w:r>
    </w:p>
    <w:p w14:paraId="3FBD86A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Oklahoma</w:t>
      </w:r>
    </w:p>
    <w:p w14:paraId="64E44DF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Texas-Houston/Dallas-Fort Worth/West</w:t>
      </w:r>
    </w:p>
    <w:p w14:paraId="258F387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Utah</w:t>
      </w:r>
    </w:p>
    <w:p w14:paraId="0276419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Vermont</w:t>
      </w:r>
    </w:p>
    <w:p w14:paraId="0DBF0A3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Epilepsy Foundation of Virginia</w:t>
      </w:r>
    </w:p>
    <w:p w14:paraId="74F7709D"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FAIR Foundation</w:t>
      </w:r>
    </w:p>
    <w:p w14:paraId="53A83450"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Families for Depression Awareness</w:t>
      </w:r>
    </w:p>
    <w:p w14:paraId="76EBD5D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Georgia AIDS Coalition</w:t>
      </w:r>
    </w:p>
    <w:p w14:paraId="5078D30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Global Alliance for Behavioral Health and Social Justice</w:t>
      </w:r>
    </w:p>
    <w:p w14:paraId="4644C00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International Association of Hepatitis Task Forces</w:t>
      </w:r>
    </w:p>
    <w:p w14:paraId="5687E2D9" w14:textId="07401DA1" w:rsidR="00A600C8" w:rsidRDefault="00A600C8" w:rsidP="00A600C8">
      <w:pPr>
        <w:spacing w:after="0" w:line="276" w:lineRule="auto"/>
        <w:jc w:val="both"/>
        <w:rPr>
          <w:rFonts w:ascii="Cambria" w:hAnsi="Cambria" w:cs="Times New Roman"/>
        </w:rPr>
      </w:pPr>
      <w:r w:rsidRPr="00A600C8">
        <w:rPr>
          <w:rFonts w:ascii="Cambria" w:hAnsi="Cambria" w:cs="Times New Roman"/>
        </w:rPr>
        <w:t xml:space="preserve">International Foundation for Autoimmune &amp; Autoinflammatory Arthritis </w:t>
      </w:r>
    </w:p>
    <w:p w14:paraId="41BD559F" w14:textId="3D8CB673" w:rsidR="008D147A" w:rsidRPr="00A600C8" w:rsidRDefault="008D147A" w:rsidP="00A600C8">
      <w:pPr>
        <w:spacing w:after="0" w:line="276" w:lineRule="auto"/>
        <w:jc w:val="both"/>
        <w:rPr>
          <w:rFonts w:ascii="Cambria" w:hAnsi="Cambria" w:cs="Times New Roman"/>
        </w:rPr>
      </w:pPr>
      <w:r w:rsidRPr="008D147A">
        <w:rPr>
          <w:rFonts w:ascii="Cambria" w:hAnsi="Cambria" w:cs="Times New Roman"/>
        </w:rPr>
        <w:t>International Myeloma Foundation</w:t>
      </w:r>
    </w:p>
    <w:p w14:paraId="361686E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Lakeshore Foundation</w:t>
      </w:r>
    </w:p>
    <w:p w14:paraId="1942579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Leukemia and Lymphoma Society</w:t>
      </w:r>
    </w:p>
    <w:p w14:paraId="2126DF2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Lupus and Allied Diseases Association, Inc.</w:t>
      </w:r>
    </w:p>
    <w:p w14:paraId="6B4B7D7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Lupus Foundation of America</w:t>
      </w:r>
    </w:p>
    <w:p w14:paraId="4A19DF3B"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Medical Oncology Association of Southern California, Inc.</w:t>
      </w:r>
    </w:p>
    <w:p w14:paraId="5D95A48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Mental Health America</w:t>
      </w:r>
    </w:p>
    <w:p w14:paraId="50D60E42"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Mental Health America of California</w:t>
      </w:r>
    </w:p>
    <w:p w14:paraId="3EEDE8C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Mental Health American of Franklin County</w:t>
      </w:r>
    </w:p>
    <w:p w14:paraId="4808A66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Alliance of State and Territorial AIDS Directors</w:t>
      </w:r>
    </w:p>
    <w:p w14:paraId="0EE3FA5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Alliance on Mental Illness</w:t>
      </w:r>
    </w:p>
    <w:p w14:paraId="5B085F75"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Alliance on Mental Illness of New York City</w:t>
      </w:r>
    </w:p>
    <w:p w14:paraId="6B42E2A5"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Association of Social Workers</w:t>
      </w:r>
    </w:p>
    <w:p w14:paraId="7FFDB74B"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Council for Behavioral Health</w:t>
      </w:r>
    </w:p>
    <w:p w14:paraId="436DB30E"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National Disability Rights Network </w:t>
      </w:r>
    </w:p>
    <w:p w14:paraId="627AEED5"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Kidney Foundation</w:t>
      </w:r>
    </w:p>
    <w:p w14:paraId="21295DE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Leiomyosarcoma Foundation</w:t>
      </w:r>
    </w:p>
    <w:p w14:paraId="4B04892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Oncology Society Network</w:t>
      </w:r>
    </w:p>
    <w:p w14:paraId="080DE739"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Organization for Rare Disorders</w:t>
      </w:r>
    </w:p>
    <w:p w14:paraId="186C3194"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National Patient Advocate Foundation</w:t>
      </w:r>
    </w:p>
    <w:p w14:paraId="09B6B344"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National Register of Health Service Psychologists </w:t>
      </w:r>
    </w:p>
    <w:p w14:paraId="4107E98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NHMH- No Health Without Mental Health</w:t>
      </w:r>
    </w:p>
    <w:p w14:paraId="6796D83A"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Prostate Health Education Network, Inc.</w:t>
      </w:r>
    </w:p>
    <w:p w14:paraId="20F21066"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San </w:t>
      </w:r>
      <w:proofErr w:type="spellStart"/>
      <w:r w:rsidRPr="00A600C8">
        <w:rPr>
          <w:rFonts w:ascii="Cambria" w:hAnsi="Cambria" w:cs="Times New Roman"/>
        </w:rPr>
        <w:t>Fancisco</w:t>
      </w:r>
      <w:proofErr w:type="spellEnd"/>
      <w:r w:rsidRPr="00A600C8">
        <w:rPr>
          <w:rFonts w:ascii="Cambria" w:hAnsi="Cambria" w:cs="Times New Roman"/>
        </w:rPr>
        <w:t xml:space="preserve"> AIDS Foundation</w:t>
      </w:r>
    </w:p>
    <w:p w14:paraId="016BDF0B"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Transplant Recipients International Organization</w:t>
      </w:r>
    </w:p>
    <w:p w14:paraId="22584F2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Transplant Support Organization</w:t>
      </w:r>
    </w:p>
    <w:p w14:paraId="30E0B6A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Treatment Communities of America</w:t>
      </w:r>
    </w:p>
    <w:p w14:paraId="37CBE7D8"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The AIDS Institute</w:t>
      </w:r>
    </w:p>
    <w:p w14:paraId="248A0A05"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The Empowerment Program</w:t>
      </w:r>
    </w:p>
    <w:p w14:paraId="5EAF3AFB"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lastRenderedPageBreak/>
        <w:t>The Michael J Fox Foundation for Parkinson's Research</w:t>
      </w:r>
    </w:p>
    <w:p w14:paraId="03768ED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The National Association of County Behavioral Health and Developmental Disability Directors</w:t>
      </w:r>
    </w:p>
    <w:p w14:paraId="7653B2C3"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The National Association for Rural Mental Health</w:t>
      </w:r>
    </w:p>
    <w:p w14:paraId="03FDD40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The Prevent Cancer Foundation</w:t>
      </w:r>
    </w:p>
    <w:p w14:paraId="3BBD089C"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United States People Living with HIV Caucus</w:t>
      </w:r>
    </w:p>
    <w:p w14:paraId="5E00153F"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Us TOO International Prostate Cancer Education and Support</w:t>
      </w:r>
    </w:p>
    <w:p w14:paraId="443C0427"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Village Family Services</w:t>
      </w:r>
    </w:p>
    <w:p w14:paraId="4D782615" w14:textId="77777777" w:rsidR="00A600C8" w:rsidRPr="00A600C8" w:rsidRDefault="00A600C8" w:rsidP="00A600C8">
      <w:pPr>
        <w:spacing w:after="0" w:line="276" w:lineRule="auto"/>
        <w:jc w:val="both"/>
        <w:rPr>
          <w:rFonts w:ascii="Cambria" w:hAnsi="Cambria" w:cs="Times New Roman"/>
        </w:rPr>
      </w:pPr>
      <w:r w:rsidRPr="00A600C8">
        <w:rPr>
          <w:rFonts w:ascii="Cambria" w:hAnsi="Cambria" w:cs="Times New Roman"/>
        </w:rPr>
        <w:t xml:space="preserve">Whitman-Walker Health </w:t>
      </w:r>
    </w:p>
    <w:p w14:paraId="60122DC2" w14:textId="1559CC46" w:rsidR="00A600C8" w:rsidRPr="00D002D6" w:rsidRDefault="00A600C8" w:rsidP="00A600C8">
      <w:pPr>
        <w:spacing w:after="0" w:line="276" w:lineRule="auto"/>
        <w:jc w:val="both"/>
        <w:rPr>
          <w:rFonts w:ascii="Cambria" w:hAnsi="Cambria" w:cs="Times New Roman"/>
        </w:rPr>
      </w:pPr>
      <w:r w:rsidRPr="00A600C8">
        <w:rPr>
          <w:rFonts w:ascii="Cambria" w:hAnsi="Cambria" w:cs="Times New Roman"/>
        </w:rPr>
        <w:t>ZERO - The End of Prostate Cancer</w:t>
      </w:r>
    </w:p>
    <w:sectPr w:rsidR="00A600C8" w:rsidRPr="00D00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8496" w14:textId="77777777" w:rsidR="00F039F6" w:rsidRDefault="00F039F6" w:rsidP="008E5CBB">
      <w:pPr>
        <w:spacing w:after="0" w:line="240" w:lineRule="auto"/>
      </w:pPr>
      <w:r>
        <w:separator/>
      </w:r>
    </w:p>
  </w:endnote>
  <w:endnote w:type="continuationSeparator" w:id="0">
    <w:p w14:paraId="08B57551" w14:textId="77777777" w:rsidR="00F039F6" w:rsidRDefault="00F039F6" w:rsidP="008E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008A" w14:textId="77777777" w:rsidR="00F039F6" w:rsidRDefault="00F039F6" w:rsidP="008E5CBB">
      <w:pPr>
        <w:spacing w:after="0" w:line="240" w:lineRule="auto"/>
      </w:pPr>
      <w:r>
        <w:separator/>
      </w:r>
    </w:p>
  </w:footnote>
  <w:footnote w:type="continuationSeparator" w:id="0">
    <w:p w14:paraId="5767874F" w14:textId="77777777" w:rsidR="00F039F6" w:rsidRDefault="00F039F6" w:rsidP="008E5CBB">
      <w:pPr>
        <w:spacing w:after="0" w:line="240" w:lineRule="auto"/>
      </w:pPr>
      <w:r>
        <w:continuationSeparator/>
      </w:r>
    </w:p>
  </w:footnote>
  <w:footnote w:id="1">
    <w:p w14:paraId="57FD7D05" w14:textId="2AB6EF3D" w:rsidR="008E5CBB" w:rsidRDefault="008E5CBB">
      <w:pPr>
        <w:pStyle w:val="FootnoteText"/>
      </w:pPr>
      <w:r>
        <w:rPr>
          <w:rStyle w:val="FootnoteReference"/>
        </w:rPr>
        <w:footnoteRef/>
      </w:r>
      <w:r>
        <w:t xml:space="preserve"> </w:t>
      </w:r>
      <w:r w:rsidRPr="008E5CBB">
        <w:rPr>
          <w:rFonts w:ascii="Times New Roman" w:hAnsi="Times New Roman" w:cs="Times New Roman"/>
        </w:rPr>
        <w:t>Smith, Kenneth J. et. al. (February 2013), Cost-Effectiveness of Medicare Drug Plans in Schizophrenia and Bipolar Disorder, 19:2 American Journal of Managed Care 55.</w:t>
      </w:r>
    </w:p>
  </w:footnote>
  <w:footnote w:id="2">
    <w:p w14:paraId="1AC3A8BC" w14:textId="08D2C725" w:rsidR="008E5CBB" w:rsidRDefault="008E5CBB">
      <w:pPr>
        <w:pStyle w:val="FootnoteText"/>
      </w:pPr>
      <w:r>
        <w:rPr>
          <w:rStyle w:val="FootnoteReference"/>
        </w:rPr>
        <w:footnoteRef/>
      </w:r>
      <w:r>
        <w:t xml:space="preserve"> </w:t>
      </w:r>
      <w:r w:rsidRPr="008E5CBB">
        <w:rPr>
          <w:rFonts w:ascii="Times New Roman" w:hAnsi="Times New Roman" w:cs="Times New Roman"/>
        </w:rPr>
        <w:t>American Cancer Society website, accessed Aug. 14, 2017, Available at: https://www.cancer.org/treatment/treatments-and-side-effects/physical-side-effects/changes-in-mood-orthinking/depression.html.</w:t>
      </w:r>
    </w:p>
  </w:footnote>
  <w:footnote w:id="3">
    <w:p w14:paraId="593DFCC0" w14:textId="13D1FDFA" w:rsidR="008E5CBB" w:rsidRDefault="008E5CBB">
      <w:pPr>
        <w:pStyle w:val="FootnoteText"/>
      </w:pPr>
      <w:r>
        <w:rPr>
          <w:rStyle w:val="FootnoteReference"/>
        </w:rPr>
        <w:footnoteRef/>
      </w:r>
      <w:r>
        <w:t xml:space="preserve"> </w:t>
      </w:r>
      <w:r w:rsidRPr="008E5CBB">
        <w:rPr>
          <w:rFonts w:ascii="Times New Roman" w:hAnsi="Times New Roman" w:cs="Times New Roman"/>
        </w:rPr>
        <w:t xml:space="preserve">Medicare Prescription Drug </w:t>
      </w:r>
      <w:r>
        <w:rPr>
          <w:rFonts w:ascii="Times New Roman" w:hAnsi="Times New Roman" w:cs="Times New Roman"/>
        </w:rPr>
        <w:t xml:space="preserve">Benefit Manual, Ch. 6, § 30.2.5. </w:t>
      </w:r>
    </w:p>
  </w:footnote>
  <w:footnote w:id="4">
    <w:p w14:paraId="41F74604" w14:textId="77777777" w:rsidR="00537645" w:rsidRPr="00950E90" w:rsidRDefault="00537645" w:rsidP="00537645">
      <w:pPr>
        <w:pStyle w:val="FootnoteText"/>
        <w:rPr>
          <w:rFonts w:ascii="Times New Roman" w:hAnsi="Times New Roman" w:cs="Times New Roman"/>
        </w:rPr>
      </w:pPr>
      <w:r>
        <w:rPr>
          <w:rStyle w:val="FootnoteReference"/>
        </w:rPr>
        <w:footnoteRef/>
      </w:r>
      <w:r>
        <w:t xml:space="preserve"> </w:t>
      </w:r>
      <w:r w:rsidRPr="00950E90">
        <w:rPr>
          <w:rFonts w:ascii="Times New Roman" w:hAnsi="Times New Roman" w:cs="Times New Roman"/>
        </w:rPr>
        <w:t>Medicare Payment Advisory Commission, “Data Book: Health Care Spending and the Medicare Program: Chapter 10—Prescription Drugs,” June 2013, p. 24, http://www.medpac.gov/chapters/Jun13DataBookSec10.pdf.</w:t>
      </w:r>
    </w:p>
  </w:footnote>
  <w:footnote w:id="5">
    <w:p w14:paraId="0CC98F97" w14:textId="685D58A2" w:rsidR="008E5CBB" w:rsidRDefault="008E5CBB">
      <w:pPr>
        <w:pStyle w:val="FootnoteText"/>
      </w:pPr>
      <w:r>
        <w:rPr>
          <w:rStyle w:val="FootnoteReference"/>
        </w:rPr>
        <w:footnoteRef/>
      </w:r>
      <w:r>
        <w:t xml:space="preserve"> </w:t>
      </w:r>
      <w:proofErr w:type="spellStart"/>
      <w:r w:rsidRPr="008E5CBB">
        <w:rPr>
          <w:rFonts w:ascii="Times New Roman" w:hAnsi="Times New Roman" w:cs="Times New Roman"/>
        </w:rPr>
        <w:t>Starc</w:t>
      </w:r>
      <w:proofErr w:type="spellEnd"/>
      <w:r w:rsidRPr="008E5CBB">
        <w:rPr>
          <w:rFonts w:ascii="Times New Roman" w:hAnsi="Times New Roman" w:cs="Times New Roman"/>
        </w:rPr>
        <w:t>, A., and Town, R.J. (August 2016). Externalities and Benefit Design in Health Insurance. Available at: https://kelley.iu.edu/BEPP/documents/starc_town_fall2016.pdf.</w:t>
      </w:r>
    </w:p>
  </w:footnote>
  <w:footnote w:id="6">
    <w:p w14:paraId="295BB8BB" w14:textId="5EAC459B" w:rsidR="008E5CBB" w:rsidRDefault="008E5CBB">
      <w:pPr>
        <w:pStyle w:val="FootnoteText"/>
      </w:pPr>
      <w:r>
        <w:rPr>
          <w:rStyle w:val="FootnoteReference"/>
        </w:rPr>
        <w:footnoteRef/>
      </w:r>
      <w:r>
        <w:t xml:space="preserve"> </w:t>
      </w:r>
      <w:r w:rsidRPr="001A204A">
        <w:rPr>
          <w:rFonts w:ascii="Times New Roman" w:hAnsi="Times New Roman" w:cs="Times New Roman"/>
          <w:i/>
        </w:rPr>
        <w:t>Ibid.</w:t>
      </w:r>
      <w:r w:rsidRPr="008E5CBB">
        <w:rPr>
          <w:rFonts w:ascii="Times New Roman" w:hAnsi="Times New Roman" w:cs="Times New Roman"/>
        </w:rPr>
        <w:t xml:space="preserve">  </w:t>
      </w:r>
    </w:p>
  </w:footnote>
  <w:footnote w:id="7">
    <w:p w14:paraId="16981AE5" w14:textId="6C0FB6E9" w:rsidR="008E5CBB" w:rsidRDefault="008E5CBB">
      <w:pPr>
        <w:pStyle w:val="FootnoteText"/>
      </w:pPr>
      <w:r>
        <w:rPr>
          <w:rStyle w:val="FootnoteReference"/>
        </w:rPr>
        <w:footnoteRef/>
      </w:r>
      <w:r>
        <w:t xml:space="preserve"> </w:t>
      </w:r>
      <w:proofErr w:type="spellStart"/>
      <w:r w:rsidRPr="008E5CBB">
        <w:rPr>
          <w:rFonts w:ascii="Times New Roman" w:hAnsi="Times New Roman" w:cs="Times New Roman"/>
        </w:rPr>
        <w:t>Avalere</w:t>
      </w:r>
      <w:proofErr w:type="spellEnd"/>
      <w:r w:rsidRPr="008E5CBB">
        <w:rPr>
          <w:rFonts w:ascii="Times New Roman" w:hAnsi="Times New Roman" w:cs="Times New Roman"/>
        </w:rPr>
        <w:t xml:space="preserve"> Health (March 2016), Impact of Formulary Restrictions on Adherence, Utilization, and Costs of Care.</w:t>
      </w:r>
    </w:p>
  </w:footnote>
  <w:footnote w:id="8">
    <w:p w14:paraId="5DD0C148" w14:textId="489CE1E6" w:rsidR="008E5CBB" w:rsidRDefault="008E5CBB">
      <w:pPr>
        <w:pStyle w:val="FootnoteText"/>
      </w:pPr>
      <w:r>
        <w:rPr>
          <w:rStyle w:val="FootnoteReference"/>
        </w:rPr>
        <w:footnoteRef/>
      </w:r>
      <w:r>
        <w:t xml:space="preserve"> </w:t>
      </w:r>
      <w:r w:rsidRPr="008E5CBB">
        <w:rPr>
          <w:rFonts w:ascii="Times New Roman" w:hAnsi="Times New Roman" w:cs="Times New Roman"/>
        </w:rPr>
        <w:t>Ibid.</w:t>
      </w:r>
    </w:p>
  </w:footnote>
  <w:footnote w:id="9">
    <w:p w14:paraId="4FC59D45" w14:textId="6B5A63F3" w:rsidR="008E5CBB" w:rsidRDefault="008E5CBB">
      <w:pPr>
        <w:pStyle w:val="FootnoteText"/>
      </w:pPr>
      <w:r>
        <w:rPr>
          <w:rStyle w:val="FootnoteReference"/>
        </w:rPr>
        <w:footnoteRef/>
      </w:r>
      <w:r>
        <w:t xml:space="preserve"> </w:t>
      </w:r>
      <w:r w:rsidRPr="001E78ED">
        <w:rPr>
          <w:rFonts w:ascii="Times New Roman" w:hAnsi="Times New Roman" w:cs="Times New Roman"/>
          <w:i/>
        </w:rPr>
        <w:t>Ibid</w:t>
      </w:r>
      <w:r w:rsidRPr="008E5CBB">
        <w:rPr>
          <w:rFonts w:ascii="Times New Roman" w:hAnsi="Times New Roman" w:cs="Times New Roman"/>
        </w:rPr>
        <w:t xml:space="preserve">.  </w:t>
      </w:r>
    </w:p>
  </w:footnote>
  <w:footnote w:id="10">
    <w:p w14:paraId="3A9B77D7" w14:textId="1053ECC7" w:rsidR="008E5CBB" w:rsidRDefault="008E5CBB">
      <w:pPr>
        <w:pStyle w:val="FootnoteText"/>
      </w:pPr>
      <w:r>
        <w:rPr>
          <w:rStyle w:val="FootnoteReference"/>
        </w:rPr>
        <w:footnoteRef/>
      </w:r>
      <w:r>
        <w:t xml:space="preserve"> </w:t>
      </w:r>
      <w:r w:rsidRPr="008E5CBB">
        <w:rPr>
          <w:rFonts w:ascii="Times New Roman" w:hAnsi="Times New Roman" w:cs="Times New Roman"/>
        </w:rPr>
        <w:t>Public Law 108-173 (December 8, 2003).</w:t>
      </w:r>
    </w:p>
  </w:footnote>
  <w:footnote w:id="11">
    <w:p w14:paraId="6070416E" w14:textId="39DCA80C" w:rsidR="008E5CBB" w:rsidRDefault="008E5CBB">
      <w:pPr>
        <w:pStyle w:val="FootnoteText"/>
      </w:pPr>
      <w:r>
        <w:rPr>
          <w:rStyle w:val="FootnoteReference"/>
        </w:rPr>
        <w:footnoteRef/>
      </w:r>
      <w:r>
        <w:t xml:space="preserve"> </w:t>
      </w:r>
      <w:r w:rsidRPr="008E5CBB">
        <w:rPr>
          <w:rFonts w:ascii="Times New Roman" w:hAnsi="Times New Roman" w:cs="Times New Roman"/>
        </w:rPr>
        <w:t>42 U.S.C. § 1395w-111(e)(2)(D)(i).</w:t>
      </w:r>
    </w:p>
  </w:footnote>
  <w:footnote w:id="12">
    <w:p w14:paraId="1888B027" w14:textId="6CE33A98" w:rsidR="008E5CBB" w:rsidRDefault="008E5CBB">
      <w:pPr>
        <w:pStyle w:val="FootnoteText"/>
      </w:pPr>
      <w:r>
        <w:rPr>
          <w:rStyle w:val="FootnoteReference"/>
        </w:rPr>
        <w:footnoteRef/>
      </w:r>
      <w:r>
        <w:t xml:space="preserve"> </w:t>
      </w:r>
      <w:r w:rsidRPr="008E5CBB">
        <w:rPr>
          <w:rFonts w:ascii="Times New Roman" w:hAnsi="Times New Roman" w:cs="Times New Roman"/>
        </w:rPr>
        <w:t>149 Cong. Rec. S5882-03</w:t>
      </w:r>
    </w:p>
  </w:footnote>
  <w:footnote w:id="13">
    <w:p w14:paraId="585D5EAA" w14:textId="3EE09999" w:rsidR="008E5CBB" w:rsidRDefault="008E5CBB">
      <w:pPr>
        <w:pStyle w:val="FootnoteText"/>
      </w:pPr>
      <w:r>
        <w:rPr>
          <w:rStyle w:val="FootnoteReference"/>
        </w:rPr>
        <w:footnoteRef/>
      </w:r>
      <w:r>
        <w:t xml:space="preserve"> </w:t>
      </w:r>
      <w:r w:rsidRPr="008E5CBB">
        <w:rPr>
          <w:rFonts w:ascii="Times New Roman" w:hAnsi="Times New Roman" w:cs="Times New Roman"/>
        </w:rPr>
        <w:t>Centers for Medicare &amp; Medicaid Services. (2005). Why is CMS Requiring "All or Substantially All" of the Drugs in the Antidepressant, Antipsychotic, Anticonvulsant, Anticancer, Immunosuppressant, and HIV/AIDS Categories? Available at: https://www.cms.gov/Medicare/Prescription-DrugCoverage/PrescriptionDrugCovContra/downloads/FormularyGuidanceAllorSubAll.pdf.</w:t>
      </w:r>
    </w:p>
  </w:footnote>
  <w:footnote w:id="14">
    <w:p w14:paraId="16C23FED" w14:textId="145E8942" w:rsidR="008E5CBB" w:rsidRDefault="008E5CBB">
      <w:pPr>
        <w:pStyle w:val="FootnoteText"/>
      </w:pPr>
      <w:r>
        <w:rPr>
          <w:rStyle w:val="FootnoteReference"/>
        </w:rPr>
        <w:footnoteRef/>
      </w:r>
      <w:r>
        <w:t xml:space="preserve"> </w:t>
      </w:r>
      <w:r w:rsidRPr="001E78ED">
        <w:rPr>
          <w:rFonts w:ascii="Times New Roman" w:hAnsi="Times New Roman" w:cs="Times New Roman"/>
          <w:i/>
        </w:rPr>
        <w:t>Ibid.</w:t>
      </w:r>
      <w:r>
        <w:rPr>
          <w:rFonts w:ascii="Times New Roman" w:hAnsi="Times New Roman" w:cs="Times New Roman"/>
        </w:rPr>
        <w:t xml:space="preserve"> </w:t>
      </w:r>
    </w:p>
  </w:footnote>
  <w:footnote w:id="15">
    <w:p w14:paraId="4461703F" w14:textId="1D2C96E9" w:rsidR="008E5CBB" w:rsidRDefault="008E5CBB">
      <w:pPr>
        <w:pStyle w:val="FootnoteText"/>
      </w:pPr>
      <w:r>
        <w:rPr>
          <w:rStyle w:val="FootnoteReference"/>
        </w:rPr>
        <w:footnoteRef/>
      </w:r>
      <w:r>
        <w:t xml:space="preserve"> </w:t>
      </w:r>
      <w:r w:rsidRPr="008E5CBB">
        <w:rPr>
          <w:rFonts w:ascii="Times New Roman" w:hAnsi="Times New Roman" w:cs="Times New Roman"/>
        </w:rPr>
        <w:t>Public Law 110-275 (July 15, 2008)</w:t>
      </w:r>
    </w:p>
  </w:footnote>
  <w:footnote w:id="16">
    <w:p w14:paraId="4D5A2FC3" w14:textId="1A34A134" w:rsidR="001E78ED" w:rsidRDefault="001E78ED">
      <w:pPr>
        <w:pStyle w:val="FootnoteText"/>
      </w:pPr>
      <w:r>
        <w:rPr>
          <w:rStyle w:val="FootnoteReference"/>
        </w:rPr>
        <w:footnoteRef/>
      </w:r>
      <w:r>
        <w:t xml:space="preserve"> </w:t>
      </w:r>
      <w:r w:rsidRPr="008E5CBB">
        <w:rPr>
          <w:rFonts w:ascii="Times New Roman" w:hAnsi="Times New Roman" w:cs="Times New Roman"/>
        </w:rPr>
        <w:t>42 U.S.C. §1395w-104(b)(3)(G)(ii).</w:t>
      </w:r>
    </w:p>
  </w:footnote>
  <w:footnote w:id="17">
    <w:p w14:paraId="5E9999E1" w14:textId="564370D8" w:rsidR="001E78ED" w:rsidRDefault="001E78ED" w:rsidP="001E78ED">
      <w:pPr>
        <w:spacing w:after="0" w:line="240" w:lineRule="auto"/>
      </w:pPr>
      <w:r>
        <w:rPr>
          <w:rStyle w:val="FootnoteReference"/>
        </w:rPr>
        <w:footnoteRef/>
      </w:r>
      <w:r>
        <w:t xml:space="preserve"> </w:t>
      </w:r>
      <w:r w:rsidRPr="001E78ED">
        <w:rPr>
          <w:rFonts w:ascii="Times New Roman" w:hAnsi="Times New Roman" w:cs="Times New Roman"/>
          <w:sz w:val="20"/>
          <w:szCs w:val="20"/>
        </w:rPr>
        <w:t xml:space="preserve">Public Law 111-148 (March 23, 2010). </w:t>
      </w:r>
    </w:p>
  </w:footnote>
  <w:footnote w:id="18">
    <w:p w14:paraId="732D9ACB" w14:textId="498F414C" w:rsidR="001E78ED" w:rsidRDefault="001E78ED">
      <w:pPr>
        <w:pStyle w:val="FootnoteText"/>
      </w:pPr>
      <w:r>
        <w:rPr>
          <w:rStyle w:val="FootnoteReference"/>
        </w:rPr>
        <w:footnoteRef/>
      </w:r>
      <w:r>
        <w:t xml:space="preserve"> </w:t>
      </w:r>
      <w:r w:rsidRPr="001E78ED">
        <w:rPr>
          <w:rFonts w:ascii="Times New Roman" w:hAnsi="Times New Roman" w:cs="Times New Roman"/>
          <w:i/>
        </w:rPr>
        <w:t>Ibid.</w:t>
      </w:r>
    </w:p>
  </w:footnote>
  <w:footnote w:id="19">
    <w:p w14:paraId="1E11202A" w14:textId="231BB849" w:rsidR="001E78ED" w:rsidRDefault="001E78ED">
      <w:pPr>
        <w:pStyle w:val="FootnoteText"/>
      </w:pPr>
      <w:r>
        <w:rPr>
          <w:rStyle w:val="FootnoteReference"/>
        </w:rPr>
        <w:footnoteRef/>
      </w:r>
      <w:r>
        <w:t xml:space="preserve"> </w:t>
      </w:r>
      <w:r w:rsidRPr="001E78ED">
        <w:rPr>
          <w:rFonts w:ascii="Times New Roman" w:hAnsi="Times New Roman" w:cs="Times New Roman"/>
        </w:rPr>
        <w:t>79 Fed. Reg. 1917 (January 10, 2014).</w:t>
      </w:r>
    </w:p>
  </w:footnote>
  <w:footnote w:id="20">
    <w:p w14:paraId="32C4D290" w14:textId="25E635BE" w:rsidR="001E78ED" w:rsidRDefault="001E78ED">
      <w:pPr>
        <w:pStyle w:val="FootnoteText"/>
      </w:pPr>
      <w:r>
        <w:rPr>
          <w:rStyle w:val="FootnoteReference"/>
        </w:rPr>
        <w:footnoteRef/>
      </w:r>
      <w:r>
        <w:t xml:space="preserve"> </w:t>
      </w:r>
      <w:r w:rsidRPr="001E78ED">
        <w:rPr>
          <w:rFonts w:ascii="Times New Roman" w:hAnsi="Times New Roman" w:cs="Times New Roman"/>
        </w:rPr>
        <w:t xml:space="preserve">Letter to HHS by Senate Finance Committee, February 2014, available </w:t>
      </w:r>
      <w:hyperlink r:id="rId1" w:history="1">
        <w:r w:rsidRPr="00DF1B84">
          <w:rPr>
            <w:rStyle w:val="Hyperlink"/>
            <w:rFonts w:ascii="Times New Roman" w:hAnsi="Times New Roman" w:cs="Times New Roman"/>
          </w:rPr>
          <w:t>here</w:t>
        </w:r>
      </w:hyperlink>
      <w:r w:rsidRPr="001E78ED">
        <w:rPr>
          <w:rFonts w:ascii="Times New Roman" w:hAnsi="Times New Roman" w:cs="Times New Roman"/>
        </w:rPr>
        <w:t>.</w:t>
      </w:r>
    </w:p>
  </w:footnote>
  <w:footnote w:id="21">
    <w:p w14:paraId="42DF3C48" w14:textId="58F4E2C3" w:rsidR="001E78ED" w:rsidRPr="001E78ED" w:rsidRDefault="001E78ED">
      <w:pPr>
        <w:pStyle w:val="FootnoteText"/>
        <w:rPr>
          <w:rFonts w:ascii="Times New Roman" w:hAnsi="Times New Roman" w:cs="Times New Roman"/>
        </w:rPr>
      </w:pPr>
      <w:r>
        <w:rPr>
          <w:rStyle w:val="FootnoteReference"/>
        </w:rPr>
        <w:footnoteRef/>
      </w:r>
      <w:r>
        <w:t xml:space="preserve"> </w:t>
      </w:r>
      <w:r w:rsidRPr="001E78ED">
        <w:rPr>
          <w:rFonts w:ascii="Times New Roman" w:hAnsi="Times New Roman" w:cs="Times New Roman"/>
        </w:rPr>
        <w:t xml:space="preserve">Letter to HHS by House W&amp;M and E&amp;C Committee Members, available </w:t>
      </w:r>
      <w:hyperlink r:id="rId2" w:history="1">
        <w:r w:rsidRPr="00DF1B84">
          <w:rPr>
            <w:rStyle w:val="Hyperlink"/>
            <w:rFonts w:ascii="Times New Roman" w:hAnsi="Times New Roman" w:cs="Times New Roman"/>
          </w:rPr>
          <w:t>here</w:t>
        </w:r>
      </w:hyperlink>
      <w:r w:rsidRPr="001E78ED">
        <w:rPr>
          <w:rFonts w:ascii="Times New Roman" w:hAnsi="Times New Roman" w:cs="Times New Roman"/>
        </w:rPr>
        <w:t>.</w:t>
      </w:r>
    </w:p>
  </w:footnote>
  <w:footnote w:id="22">
    <w:p w14:paraId="2F14B7A7" w14:textId="4437352B" w:rsidR="001E78ED" w:rsidRDefault="001E78ED">
      <w:pPr>
        <w:pStyle w:val="FootnoteText"/>
      </w:pPr>
      <w:r>
        <w:rPr>
          <w:rStyle w:val="FootnoteReference"/>
        </w:rPr>
        <w:footnoteRef/>
      </w:r>
      <w:r>
        <w:t xml:space="preserve"> </w:t>
      </w:r>
      <w:r w:rsidRPr="001E78ED">
        <w:rPr>
          <w:rFonts w:ascii="Times New Roman" w:hAnsi="Times New Roman" w:cs="Times New Roman"/>
        </w:rPr>
        <w:t>79 Fed. Reg. 29865 (May 23, 2014).</w:t>
      </w:r>
    </w:p>
  </w:footnote>
  <w:footnote w:id="23">
    <w:p w14:paraId="655FC0D0" w14:textId="17C27F59" w:rsidR="001E78ED" w:rsidRDefault="001E78ED">
      <w:pPr>
        <w:pStyle w:val="FootnoteText"/>
      </w:pPr>
      <w:r>
        <w:rPr>
          <w:rStyle w:val="FootnoteReference"/>
        </w:rPr>
        <w:footnoteRef/>
      </w:r>
      <w:r>
        <w:t xml:space="preserve"> </w:t>
      </w:r>
      <w:r w:rsidRPr="001E78ED">
        <w:rPr>
          <w:rFonts w:ascii="Times New Roman" w:hAnsi="Times New Roman" w:cs="Times New Roman"/>
        </w:rPr>
        <w:t>79 Fed. Reg. 29844 (May 23,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FE"/>
    <w:rsid w:val="0000762F"/>
    <w:rsid w:val="00012113"/>
    <w:rsid w:val="00014622"/>
    <w:rsid w:val="0005102D"/>
    <w:rsid w:val="000717BC"/>
    <w:rsid w:val="0010443D"/>
    <w:rsid w:val="00106FE4"/>
    <w:rsid w:val="001310AA"/>
    <w:rsid w:val="001329CB"/>
    <w:rsid w:val="001373FF"/>
    <w:rsid w:val="001809A7"/>
    <w:rsid w:val="001A204A"/>
    <w:rsid w:val="001E78ED"/>
    <w:rsid w:val="00202E03"/>
    <w:rsid w:val="00211857"/>
    <w:rsid w:val="00234784"/>
    <w:rsid w:val="00265DF2"/>
    <w:rsid w:val="002669D0"/>
    <w:rsid w:val="002A3717"/>
    <w:rsid w:val="002A63D5"/>
    <w:rsid w:val="002C574C"/>
    <w:rsid w:val="003B12F2"/>
    <w:rsid w:val="004526B3"/>
    <w:rsid w:val="00465D3C"/>
    <w:rsid w:val="004729AA"/>
    <w:rsid w:val="00494394"/>
    <w:rsid w:val="004A6CB8"/>
    <w:rsid w:val="004B46B5"/>
    <w:rsid w:val="004B47CD"/>
    <w:rsid w:val="004C19D8"/>
    <w:rsid w:val="004C621D"/>
    <w:rsid w:val="00537645"/>
    <w:rsid w:val="00540128"/>
    <w:rsid w:val="005807E0"/>
    <w:rsid w:val="005906BE"/>
    <w:rsid w:val="005F532D"/>
    <w:rsid w:val="00624EF6"/>
    <w:rsid w:val="00643A02"/>
    <w:rsid w:val="006527E3"/>
    <w:rsid w:val="00684B7C"/>
    <w:rsid w:val="006937BA"/>
    <w:rsid w:val="006F4A02"/>
    <w:rsid w:val="007E2AE2"/>
    <w:rsid w:val="00823FEC"/>
    <w:rsid w:val="0083484C"/>
    <w:rsid w:val="008B03F3"/>
    <w:rsid w:val="008B384C"/>
    <w:rsid w:val="008D147A"/>
    <w:rsid w:val="008E5CBB"/>
    <w:rsid w:val="00903D43"/>
    <w:rsid w:val="00917FA5"/>
    <w:rsid w:val="00921300"/>
    <w:rsid w:val="00943528"/>
    <w:rsid w:val="00950E90"/>
    <w:rsid w:val="00961477"/>
    <w:rsid w:val="00A03954"/>
    <w:rsid w:val="00A35D90"/>
    <w:rsid w:val="00A561E6"/>
    <w:rsid w:val="00A600C8"/>
    <w:rsid w:val="00AC27ED"/>
    <w:rsid w:val="00AE64A4"/>
    <w:rsid w:val="00AF66B3"/>
    <w:rsid w:val="00B22131"/>
    <w:rsid w:val="00B567F8"/>
    <w:rsid w:val="00B608C2"/>
    <w:rsid w:val="00B87EA2"/>
    <w:rsid w:val="00BA4C2B"/>
    <w:rsid w:val="00BB25FC"/>
    <w:rsid w:val="00BB3B97"/>
    <w:rsid w:val="00BD7F48"/>
    <w:rsid w:val="00BE2F2A"/>
    <w:rsid w:val="00C12043"/>
    <w:rsid w:val="00C24D77"/>
    <w:rsid w:val="00C33436"/>
    <w:rsid w:val="00C559D7"/>
    <w:rsid w:val="00CC13A0"/>
    <w:rsid w:val="00D002D6"/>
    <w:rsid w:val="00D1102A"/>
    <w:rsid w:val="00D46FC7"/>
    <w:rsid w:val="00D66E2E"/>
    <w:rsid w:val="00D91ED7"/>
    <w:rsid w:val="00D938C7"/>
    <w:rsid w:val="00DB09A8"/>
    <w:rsid w:val="00DB23A7"/>
    <w:rsid w:val="00DC71CA"/>
    <w:rsid w:val="00DF1B84"/>
    <w:rsid w:val="00E37485"/>
    <w:rsid w:val="00E74CFE"/>
    <w:rsid w:val="00E873C5"/>
    <w:rsid w:val="00E93A02"/>
    <w:rsid w:val="00EF2C95"/>
    <w:rsid w:val="00F039F6"/>
    <w:rsid w:val="00F208F5"/>
    <w:rsid w:val="00F274DF"/>
    <w:rsid w:val="00F336D8"/>
    <w:rsid w:val="00F65E84"/>
    <w:rsid w:val="00F90665"/>
    <w:rsid w:val="00FA5003"/>
    <w:rsid w:val="00F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A5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CBB"/>
    <w:rPr>
      <w:sz w:val="20"/>
      <w:szCs w:val="20"/>
    </w:rPr>
  </w:style>
  <w:style w:type="character" w:styleId="FootnoteReference">
    <w:name w:val="footnote reference"/>
    <w:basedOn w:val="DefaultParagraphFont"/>
    <w:uiPriority w:val="99"/>
    <w:semiHidden/>
    <w:unhideWhenUsed/>
    <w:rsid w:val="008E5CBB"/>
    <w:rPr>
      <w:vertAlign w:val="superscript"/>
    </w:rPr>
  </w:style>
  <w:style w:type="character" w:styleId="Hyperlink">
    <w:name w:val="Hyperlink"/>
    <w:basedOn w:val="DefaultParagraphFont"/>
    <w:uiPriority w:val="99"/>
    <w:unhideWhenUsed/>
    <w:rsid w:val="00DF1B84"/>
    <w:rPr>
      <w:color w:val="0563C1" w:themeColor="hyperlink"/>
      <w:u w:val="single"/>
    </w:rPr>
  </w:style>
  <w:style w:type="character" w:styleId="UnresolvedMention">
    <w:name w:val="Unresolved Mention"/>
    <w:basedOn w:val="DefaultParagraphFont"/>
    <w:uiPriority w:val="99"/>
    <w:semiHidden/>
    <w:unhideWhenUsed/>
    <w:rsid w:val="00DF1B84"/>
    <w:rPr>
      <w:color w:val="808080"/>
      <w:shd w:val="clear" w:color="auto" w:fill="E6E6E6"/>
    </w:rPr>
  </w:style>
  <w:style w:type="paragraph" w:customStyle="1" w:styleId="Default">
    <w:name w:val="Default"/>
    <w:rsid w:val="000717BC"/>
    <w:pPr>
      <w:autoSpaceDE w:val="0"/>
      <w:autoSpaceDN w:val="0"/>
      <w:adjustRightInd w:val="0"/>
      <w:spacing w:after="0" w:line="240" w:lineRule="auto"/>
    </w:pPr>
    <w:rPr>
      <w:rFonts w:ascii="Cambria" w:hAnsi="Cambria" w:cs="Cambria"/>
      <w:color w:val="000000"/>
      <w:sz w:val="24"/>
      <w:szCs w:val="24"/>
    </w:rPr>
  </w:style>
  <w:style w:type="paragraph" w:customStyle="1" w:styleId="SectionHeading">
    <w:name w:val="Section Heading"/>
    <w:basedOn w:val="Normal"/>
    <w:link w:val="SectionHeadingChar"/>
    <w:qFormat/>
    <w:rsid w:val="006937BA"/>
    <w:pPr>
      <w:spacing w:after="0" w:line="276" w:lineRule="auto"/>
      <w:jc w:val="both"/>
    </w:pPr>
    <w:rPr>
      <w:rFonts w:ascii="Cambria" w:hAnsi="Cambria" w:cs="Times New Roman"/>
      <w:b/>
      <w:u w:val="single"/>
    </w:rPr>
  </w:style>
  <w:style w:type="paragraph" w:styleId="Header">
    <w:name w:val="header"/>
    <w:basedOn w:val="Normal"/>
    <w:link w:val="HeaderChar"/>
    <w:uiPriority w:val="99"/>
    <w:unhideWhenUsed/>
    <w:rsid w:val="00B608C2"/>
    <w:pPr>
      <w:tabs>
        <w:tab w:val="center" w:pos="4680"/>
        <w:tab w:val="right" w:pos="9360"/>
      </w:tabs>
      <w:spacing w:after="0" w:line="240" w:lineRule="auto"/>
    </w:pPr>
  </w:style>
  <w:style w:type="character" w:customStyle="1" w:styleId="SectionHeadingChar">
    <w:name w:val="Section Heading Char"/>
    <w:basedOn w:val="DefaultParagraphFont"/>
    <w:link w:val="SectionHeading"/>
    <w:rsid w:val="006937BA"/>
    <w:rPr>
      <w:rFonts w:ascii="Cambria" w:hAnsi="Cambria" w:cs="Times New Roman"/>
      <w:b/>
      <w:u w:val="single"/>
    </w:rPr>
  </w:style>
  <w:style w:type="character" w:customStyle="1" w:styleId="HeaderChar">
    <w:name w:val="Header Char"/>
    <w:basedOn w:val="DefaultParagraphFont"/>
    <w:link w:val="Header"/>
    <w:uiPriority w:val="99"/>
    <w:rsid w:val="00B608C2"/>
  </w:style>
  <w:style w:type="paragraph" w:styleId="Footer">
    <w:name w:val="footer"/>
    <w:basedOn w:val="Normal"/>
    <w:link w:val="FooterChar"/>
    <w:uiPriority w:val="99"/>
    <w:unhideWhenUsed/>
    <w:rsid w:val="00B60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nationalcouncil.org/capitol-connector/wp-content/blogs.dir/2/files/2014/03/Six-Protected-Classes-Letter-FINAL.pdf" TargetMode="External"/><Relationship Id="rId1" Type="http://schemas.openxmlformats.org/officeDocument/2006/relationships/hyperlink" Target="http://www.partdpartnership.org/files/resources/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83C1-FB4C-4FE1-A2EC-6FE036E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2018-04-26T15:23:00Z</dcterms:created>
  <dcterms:modified xsi:type="dcterms:W3CDTF">2018-04-26T15:23:00Z</dcterms:modified>
</cp:coreProperties>
</file>