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E5" w:rsidRPr="001A79E5" w:rsidRDefault="001A79E5" w:rsidP="001A79E5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1A79E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Additional CMS Changes for </w:t>
      </w:r>
      <w:proofErr w:type="spellStart"/>
      <w:r w:rsidRPr="001A79E5">
        <w:rPr>
          <w:rFonts w:ascii="Times New Roman" w:eastAsia="Times New Roman" w:hAnsi="Times New Roman" w:cs="Times New Roman"/>
          <w:b/>
          <w:bCs/>
          <w:sz w:val="52"/>
          <w:szCs w:val="52"/>
        </w:rPr>
        <w:t>Telehealth</w:t>
      </w:r>
      <w:proofErr w:type="spellEnd"/>
      <w:r w:rsidRPr="001A79E5">
        <w:rPr>
          <w:rFonts w:ascii="Times New Roman" w:eastAsia="Times New Roman" w:hAnsi="Times New Roman" w:cs="Times New Roman"/>
          <w:b/>
          <w:bCs/>
          <w:sz w:val="52"/>
          <w:szCs w:val="52"/>
        </w:rPr>
        <w:t> </w:t>
      </w:r>
    </w:p>
    <w:p w:rsidR="001A79E5" w:rsidRPr="001A79E5" w:rsidRDefault="001A79E5" w:rsidP="001A7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11" w:rightFromText="36" w:vertAnchor="text" w:tblpXSpec="right" w:tblpYSpec="center"/>
        <w:tblW w:w="3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4572"/>
      </w:tblGrid>
      <w:tr w:rsidR="001A79E5" w:rsidRPr="001A79E5" w:rsidTr="001A79E5">
        <w:trPr>
          <w:trHeight w:val="15"/>
          <w:tblCellSpacing w:w="0" w:type="dxa"/>
        </w:trPr>
        <w:tc>
          <w:tcPr>
            <w:tcW w:w="60" w:type="dxa"/>
            <w:hideMark/>
          </w:tcPr>
          <w:p w:rsidR="001A79E5" w:rsidRPr="001A79E5" w:rsidRDefault="001A79E5" w:rsidP="001A79E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7620"/>
                  <wp:effectExtent l="0" t="0" r="0" b="0"/>
                  <wp:docPr id="2" name="Picture 2" descr="https://static.ctctcdn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ctctcdn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1A79E5" w:rsidRPr="001A79E5" w:rsidRDefault="001A79E5" w:rsidP="001A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03220" cy="1775460"/>
                  <wp:effectExtent l="0" t="0" r="0" b="0"/>
                  <wp:docPr id="1" name="Picture 1" descr="https://mlsvc01-prod.s3.amazonaws.com/f9a32e1d001/c0ed0702-acb4-44da-ad36-b6ffaa2e39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lsvc01-prod.s3.amazonaws.com/f9a32e1d001/c0ed0702-acb4-44da-ad36-b6ffaa2e39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9E5" w:rsidRPr="001A79E5" w:rsidRDefault="001A79E5" w:rsidP="001A79E5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The Centers for Medicare &amp; Medicaid Services (CMS) announced through a </w:t>
      </w:r>
      <w:hyperlink r:id="rId7" w:tgtFrame="_blank" w:history="1">
        <w:r w:rsidRPr="001A79E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</w:rPr>
          <w:t>press release</w:t>
        </w:r>
      </w:hyperlink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  and updated COVID-19 Waivers Summary Document and </w:t>
      </w:r>
      <w:hyperlink r:id="rId8" w:tgtFrame="_blank" w:history="1">
        <w:r w:rsidRPr="001A79E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</w:rPr>
          <w:t>provider-specific factsheets</w:t>
        </w:r>
      </w:hyperlink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 xml:space="preserve">  additional expansions in </w:t>
      </w:r>
      <w:proofErr w:type="spellStart"/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telehealth</w:t>
      </w:r>
      <w:proofErr w:type="spellEnd"/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 xml:space="preserve"> policy to address needs related to the COVID-19 public health emergency. CCHP has updated its </w:t>
      </w:r>
      <w:hyperlink r:id="rId9" w:tgtFrame="_blank" w:history="1">
        <w:r w:rsidRPr="001A79E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</w:rPr>
          <w:t xml:space="preserve">Federal </w:t>
        </w:r>
        <w:proofErr w:type="spellStart"/>
        <w:r w:rsidRPr="001A79E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</w:rPr>
          <w:t>Telehealth</w:t>
        </w:r>
        <w:proofErr w:type="spellEnd"/>
        <w:r w:rsidRPr="001A79E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</w:rPr>
          <w:t xml:space="preserve"> Policy</w:t>
        </w:r>
      </w:hyperlink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 and</w:t>
      </w:r>
      <w:hyperlink r:id="rId10" w:tgtFrame="_blank" w:history="1">
        <w:r w:rsidRPr="001A79E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</w:rPr>
          <w:t> FQHC/RHC factsheets</w:t>
        </w:r>
      </w:hyperlink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 xml:space="preserve"> to reflect these new policies. One of the five stated goals of the changes is to increase access to </w:t>
      </w:r>
      <w:proofErr w:type="spellStart"/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telehealth</w:t>
      </w:r>
      <w:proofErr w:type="spellEnd"/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 xml:space="preserve"> for Medicare patients so that they can access care safely from their homes.</w:t>
      </w:r>
    </w:p>
    <w:p w:rsidR="001A79E5" w:rsidRPr="001A79E5" w:rsidRDefault="001A79E5" w:rsidP="001A79E5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1A79E5" w:rsidRPr="001A79E5" w:rsidRDefault="001A79E5" w:rsidP="001A79E5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79E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The major </w:t>
      </w:r>
      <w:proofErr w:type="spellStart"/>
      <w:r w:rsidRPr="001A79E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telehealth</w:t>
      </w:r>
      <w:proofErr w:type="spellEnd"/>
      <w:r w:rsidRPr="001A79E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changes in Medicare include the following:</w:t>
      </w:r>
    </w:p>
    <w:p w:rsidR="001A79E5" w:rsidRPr="001A79E5" w:rsidRDefault="001A79E5" w:rsidP="001A7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 xml:space="preserve">All health care professionals that are eligible to bill Medicare will be allowed to be reimbursed for </w:t>
      </w:r>
      <w:proofErr w:type="spellStart"/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telehealth</w:t>
      </w:r>
      <w:proofErr w:type="spellEnd"/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 xml:space="preserve">-delivered services, including physical therapists, occupational therapists, and speech language pathologists. Previously these practitioners had been excluded from Medicare reimbursement for </w:t>
      </w:r>
      <w:proofErr w:type="spellStart"/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telehealth</w:t>
      </w:r>
      <w:proofErr w:type="spellEnd"/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 xml:space="preserve"> delivered services. Hospitals will also be able to furnish certain services remotely provided by hospital-based practitioners to Medicare patients registered as hospital outpatients (including those at home).</w:t>
      </w:r>
    </w:p>
    <w:p w:rsidR="001A79E5" w:rsidRPr="001A79E5" w:rsidRDefault="001A79E5" w:rsidP="001A7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 xml:space="preserve">Hospitals can qualify for the originating site facility fee for </w:t>
      </w:r>
      <w:proofErr w:type="spellStart"/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telehealth</w:t>
      </w:r>
      <w:proofErr w:type="spellEnd"/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 xml:space="preserve"> services furnished by hospital-based practitioners to Medicare patients registered as hospital outpatients when the patient is at home.</w:t>
      </w:r>
    </w:p>
    <w:p w:rsidR="001A79E5" w:rsidRPr="001A79E5" w:rsidRDefault="001A79E5" w:rsidP="001A7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CMS is waiving the requirement for use of video technology for interactive telecommunications system for certain services. This only applies to codes for audio-only telephone evaluation and management services and behavioral health counseling and education services. Other codes still require live video interaction. A list of eligible codes and whether or not they qualify for audio-only is available HERE. FQHCs and RHCs will also be able to bill these codes, although special billing requirements apply for these entities.</w:t>
      </w:r>
    </w:p>
    <w:p w:rsidR="001A79E5" w:rsidRPr="001A79E5" w:rsidRDefault="001A79E5" w:rsidP="001A7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CMS is increasing the payment amount for telephone visits to match payments for similar office and outpatient visits.</w:t>
      </w:r>
    </w:p>
    <w:p w:rsidR="001A79E5" w:rsidRPr="001A79E5" w:rsidRDefault="001A79E5" w:rsidP="001A7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 xml:space="preserve">There will be an expedited process to review services that can be furnished via </w:t>
      </w:r>
      <w:proofErr w:type="spellStart"/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telehealth</w:t>
      </w:r>
      <w:proofErr w:type="spellEnd"/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added to CMS' eligible </w:t>
      </w:r>
      <w:proofErr w:type="spellStart"/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telehealth</w:t>
      </w:r>
      <w:proofErr w:type="spellEnd"/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 xml:space="preserve"> list, as opposed to the usual process which takes almost a year.</w:t>
      </w:r>
    </w:p>
    <w:p w:rsidR="001A79E5" w:rsidRPr="001A79E5" w:rsidRDefault="001A79E5" w:rsidP="001A79E5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Other topics addressed include increased flexibilities for Medicare Shared Savings ACOs, new Medicaid and Medicare rules aimed at expanding COVID-19 diagnostic testing, increasing hospital and workforce capacity and decreasing administrative burdens. To read more about the changes, see </w:t>
      </w:r>
      <w:hyperlink r:id="rId11" w:tgtFrame="_blank" w:history="1">
        <w:r w:rsidRPr="001A79E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</w:rPr>
          <w:t>CMS' summary of their waivers</w:t>
        </w:r>
      </w:hyperlink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 and the most recent </w:t>
      </w:r>
      <w:hyperlink r:id="rId12" w:tgtFrame="_blank" w:history="1">
        <w:r w:rsidRPr="001A79E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</w:rPr>
          <w:t>press release</w:t>
        </w:r>
      </w:hyperlink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1A79E5" w:rsidRPr="001A79E5" w:rsidRDefault="001A79E5" w:rsidP="001A79E5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br/>
        <w:t> </w:t>
      </w:r>
      <w:r w:rsidRPr="001A79E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CMS also updated several of their provider-specific factsheets, which are listed below:</w:t>
      </w:r>
    </w:p>
    <w:p w:rsidR="001A79E5" w:rsidRPr="001A79E5" w:rsidRDefault="001A79E5" w:rsidP="001A79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13" w:tgtFrame="_blank" w:history="1">
        <w:r w:rsidRPr="001A79E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</w:rPr>
          <w:t>Federally Qualified Health Center/Rural Health Clinic</w:t>
        </w:r>
      </w:hyperlink>
    </w:p>
    <w:p w:rsidR="001A79E5" w:rsidRPr="001A79E5" w:rsidRDefault="001A79E5" w:rsidP="001A79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14" w:tgtFrame="_blank" w:history="1">
        <w:r w:rsidRPr="001A79E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</w:rPr>
          <w:t>Hospitals</w:t>
        </w:r>
      </w:hyperlink>
    </w:p>
    <w:p w:rsidR="001A79E5" w:rsidRPr="001A79E5" w:rsidRDefault="001A79E5" w:rsidP="001A79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15" w:tgtFrame="_blank" w:history="1">
        <w:r w:rsidRPr="001A79E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</w:rPr>
          <w:t>Physicians and other Practitioners</w:t>
        </w:r>
      </w:hyperlink>
    </w:p>
    <w:p w:rsidR="001A79E5" w:rsidRPr="001A79E5" w:rsidRDefault="001A79E5" w:rsidP="001A79E5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CMS also made changes to their </w:t>
      </w:r>
      <w:hyperlink r:id="rId16" w:tgtFrame="_blank" w:history="1">
        <w:r w:rsidRPr="001A79E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</w:rPr>
          <w:t>Medicare Learning Network (MLN) Matters guidance document</w:t>
        </w:r>
      </w:hyperlink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 xml:space="preserve"> to Federally Qualified Health Centers and Rural Health Clinics addressing changes to </w:t>
      </w:r>
      <w:proofErr w:type="spellStart"/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telehealth</w:t>
      </w:r>
      <w:proofErr w:type="spellEnd"/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 xml:space="preserve"> billing requirements and providing for additional flexibilities for audio-only telephone. To learn more about these changes, see </w:t>
      </w:r>
      <w:hyperlink r:id="rId17" w:tgtFrame="_blank" w:history="1">
        <w:r w:rsidRPr="001A79E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</w:rPr>
          <w:t>CCH's factsheet on FQHCs/RHCs acting as distant site providers in Medicare</w:t>
        </w:r>
      </w:hyperlink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, which has been updated based on the most recent changes.</w:t>
      </w:r>
    </w:p>
    <w:p w:rsidR="001A79E5" w:rsidRDefault="001A79E5" w:rsidP="001A79E5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240CA3" w:rsidRDefault="001A79E5" w:rsidP="001A79E5">
      <w:pPr>
        <w:spacing w:after="0" w:line="240" w:lineRule="auto"/>
      </w:pPr>
      <w:bookmarkStart w:id="0" w:name="_GoBack"/>
      <w:bookmarkEnd w:id="0"/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Visit</w:t>
      </w:r>
      <w:hyperlink r:id="rId18" w:tgtFrame="_blank" w:history="1">
        <w:r w:rsidRPr="001A79E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</w:rPr>
          <w:t> CCHP's website</w:t>
        </w:r>
      </w:hyperlink>
      <w:r w:rsidRPr="001A79E5">
        <w:rPr>
          <w:rFonts w:ascii="Georgia" w:eastAsia="Times New Roman" w:hAnsi="Georgia" w:cs="Times New Roman"/>
          <w:color w:val="000000"/>
          <w:sz w:val="24"/>
          <w:szCs w:val="24"/>
        </w:rPr>
        <w:t> for more information on these changes.</w:t>
      </w:r>
    </w:p>
    <w:sectPr w:rsidR="00240CA3" w:rsidSect="001A79E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7C7A"/>
    <w:multiLevelType w:val="multilevel"/>
    <w:tmpl w:val="2A2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52A56"/>
    <w:multiLevelType w:val="multilevel"/>
    <w:tmpl w:val="CB36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E5"/>
    <w:rsid w:val="001A79E5"/>
    <w:rsid w:val="0024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9A17E-009B-4842-BB1B-51CD1926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9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7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hpca.us9.list-manage.com/track/click?u=c9fa99b7520aedfca5c453103&amp;id=a69a8fffdd&amp;e=b3176aeb7c" TargetMode="External"/><Relationship Id="rId13" Type="http://schemas.openxmlformats.org/officeDocument/2006/relationships/hyperlink" Target="https://www.cms.gov/files/document/covid-rural-health-clinics.pdf?utm_source=Telehealth+Enthusiasts&amp;utm_campaign=bee59bee5d-EMAIL_CAMPAIGN_2020_04_30_11_31&amp;utm_medium=email&amp;utm_term=0_ae00b0e89a-bee59bee5d-353240107" TargetMode="External"/><Relationship Id="rId18" Type="http://schemas.openxmlformats.org/officeDocument/2006/relationships/hyperlink" Target="https://www.cchpca.org/resources/covid-19-telehealth-coverage-policies?utm_source=Telehealth+Enthusiasts&amp;utm_campaign=bee59bee5d-EMAIL_CAMPAIGN_2020_04_30_11_31&amp;utm_medium=email&amp;utm_term=0_ae00b0e89a-bee59bee5d-353240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newsroom/press-releases/trump-administration-issues-second-round-sweeping-changes-support-us-healthcare-system-during-covid?utm_source=Telehealth+Enthusiasts&amp;utm_campaign=bee59bee5d-EMAIL_CAMPAIGN_2020_04_30_11_31&amp;utm_medium=email&amp;utm_term=0_ae00b0e89a-bee59bee5d-353240107" TargetMode="External"/><Relationship Id="rId12" Type="http://schemas.openxmlformats.org/officeDocument/2006/relationships/hyperlink" Target="https://www.cms.gov/newsroom/press-releases/trump-administration-issues-second-round-sweeping-changes-support-us-healthcare-system-during-covid?utm_source=Telehealth+Enthusiasts&amp;utm_campaign=bee59bee5d-EMAIL_CAMPAIGN_2020_04_30_11_31&amp;utm_medium=email&amp;utm_term=0_ae00b0e89a-bee59bee5d-353240107" TargetMode="External"/><Relationship Id="rId17" Type="http://schemas.openxmlformats.org/officeDocument/2006/relationships/hyperlink" Target="https://www.cchpca.org/sites/default/files/2020-04/CMS%20FQHC%20RHC%20FACT%20SHEET%204.30.20%20FINAL.pdf?utm_source=Telehealth+Enthusiasts&amp;utm_campaign=bee59bee5d-EMAIL_CAMPAIGN_2020_04_30_11_31&amp;utm_medium=email&amp;utm_term=0_ae00b0e89a-bee59bee5d-3532401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ms.gov/files/document/se20016.pdf?utm_source=Telehealth+Enthusiasts&amp;utm_campaign=bee59bee5d-EMAIL_CAMPAIGN_2020_04_30_11_31&amp;utm_medium=email&amp;utm_term=0_ae00b0e89a-bee59bee5d-35324010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ms.gov/files/document/summary-covid-19-emergency-declaration-waivers.pdf?utm_source=Telehealth+Enthusiasts&amp;utm_campaign=bee59bee5d-EMAIL_CAMPAIGN_2020_04_30_11_31&amp;utm_medium=email&amp;utm_term=0_ae00b0e89a-bee59bee5d-35324010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cms.gov/files/document/covid-19-physicians-and-practitioners.pdf?utm_source=Telehealth+Enthusiasts&amp;utm_campaign=bee59bee5d-EMAIL_CAMPAIGN_2020_04_30_11_31&amp;utm_medium=email&amp;utm_term=0_ae00b0e89a-bee59bee5d-353240107" TargetMode="External"/><Relationship Id="rId10" Type="http://schemas.openxmlformats.org/officeDocument/2006/relationships/hyperlink" Target="https://www.cchpca.org/sites/default/files/2020-04/CMS%20FQHC%20RHC%20FACT%20SHEET%204.30.20%20FINAL.pdf?utm_source=Telehealth+Enthusiasts&amp;utm_campaign=bee59bee5d-EMAIL_CAMPAIGN_2020_04_30_11_31&amp;utm_medium=email&amp;utm_term=0_ae00b0e89a-bee59bee5d-35324010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chpca.org/sites/default/files/2020-04/CORONAVIRUS%20TELEHEALTH%20POLICY%20FACT%20SHEET%20APRIL%2030%202020%20FINAL.pdf?utm_source=Telehealth+Enthusiasts&amp;utm_campaign=bee59bee5d-EMAIL_CAMPAIGN_2020_04_30_11_31&amp;utm_medium=email&amp;utm_term=0_ae00b0e89a-bee59bee5d-353240107" TargetMode="External"/><Relationship Id="rId14" Type="http://schemas.openxmlformats.org/officeDocument/2006/relationships/hyperlink" Target="https://www.cms.gov/files/document/covid-hospitals.pdf?utm_source=Telehealth+Enthusiasts&amp;utm_campaign=bee59bee5d-EMAIL_CAMPAIGN_2020_04_30_11_31&amp;utm_medium=email&amp;utm_term=0_ae00b0e89a-bee59bee5d-353240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Beasley</dc:creator>
  <cp:keywords/>
  <dc:description/>
  <cp:lastModifiedBy>Paula Beasley</cp:lastModifiedBy>
  <cp:revision>1</cp:revision>
  <dcterms:created xsi:type="dcterms:W3CDTF">2020-05-07T19:36:00Z</dcterms:created>
  <dcterms:modified xsi:type="dcterms:W3CDTF">2020-05-07T19:38:00Z</dcterms:modified>
</cp:coreProperties>
</file>