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shd w:val="clear" w:color="auto" w:fill="FFFFFF"/>
        <w:tblCellMar>
          <w:left w:w="0" w:type="dxa"/>
          <w:right w:w="0" w:type="dxa"/>
        </w:tblCellMar>
        <w:tblLook w:val="04A0" w:firstRow="1" w:lastRow="0" w:firstColumn="1" w:lastColumn="0" w:noHBand="0" w:noVBand="1"/>
      </w:tblPr>
      <w:tblGrid>
        <w:gridCol w:w="10800"/>
      </w:tblGrid>
      <w:tr w:rsidR="00C9136C" w:rsidRPr="00C9136C" w14:paraId="1D8504D6" w14:textId="77777777" w:rsidTr="00C9136C">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10800"/>
            </w:tblGrid>
            <w:tr w:rsidR="00C9136C" w:rsidRPr="00C9136C" w14:paraId="23C1BD02" w14:textId="77777777">
              <w:tc>
                <w:tcPr>
                  <w:tcW w:w="0" w:type="auto"/>
                  <w:tcMar>
                    <w:top w:w="135" w:type="dxa"/>
                    <w:left w:w="0" w:type="dxa"/>
                    <w:bottom w:w="0" w:type="dxa"/>
                    <w:right w:w="0" w:type="dxa"/>
                  </w:tcMar>
                  <w:hideMark/>
                </w:tcPr>
                <w:p w14:paraId="722EA0A9" w14:textId="37981062" w:rsidR="00C9136C" w:rsidRDefault="00C9136C">
                  <w:r>
                    <w:rPr>
                      <w:noProof/>
                    </w:rPr>
                    <w:drawing>
                      <wp:inline distT="0" distB="0" distL="0" distR="0" wp14:anchorId="268F6868" wp14:editId="4813B874">
                        <wp:extent cx="5711825" cy="1200785"/>
                        <wp:effectExtent l="0" t="0" r="3175" b="0"/>
                        <wp:docPr id="124382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1200785"/>
                                </a:xfrm>
                                <a:prstGeom prst="rect">
                                  <a:avLst/>
                                </a:prstGeom>
                                <a:noFill/>
                                <a:ln>
                                  <a:noFill/>
                                </a:ln>
                              </pic:spPr>
                            </pic:pic>
                          </a:graphicData>
                        </a:graphic>
                      </wp:inline>
                    </w:drawing>
                  </w:r>
                </w:p>
                <w:tbl>
                  <w:tblPr>
                    <w:tblpPr w:leftFromText="45" w:rightFromText="45" w:vertAnchor="text"/>
                    <w:tblW w:w="11070" w:type="dxa"/>
                    <w:tblCellMar>
                      <w:left w:w="0" w:type="dxa"/>
                      <w:right w:w="0" w:type="dxa"/>
                    </w:tblCellMar>
                    <w:tblLook w:val="04A0" w:firstRow="1" w:lastRow="0" w:firstColumn="1" w:lastColumn="0" w:noHBand="0" w:noVBand="1"/>
                  </w:tblPr>
                  <w:tblGrid>
                    <w:gridCol w:w="11070"/>
                  </w:tblGrid>
                  <w:tr w:rsidR="00C9136C" w:rsidRPr="00C9136C" w14:paraId="606F6358" w14:textId="77777777" w:rsidTr="00325357">
                    <w:tc>
                      <w:tcPr>
                        <w:tcW w:w="5000" w:type="pct"/>
                        <w:tcMar>
                          <w:top w:w="0" w:type="dxa"/>
                          <w:left w:w="270" w:type="dxa"/>
                          <w:bottom w:w="135" w:type="dxa"/>
                          <w:right w:w="270" w:type="dxa"/>
                        </w:tcMar>
                        <w:hideMark/>
                      </w:tcPr>
                      <w:p w14:paraId="1702C5EA" w14:textId="77777777" w:rsidR="00C9136C" w:rsidRPr="00C9136C" w:rsidRDefault="00C9136C" w:rsidP="00325357">
                        <w:pPr>
                          <w:ind w:right="-724"/>
                        </w:pPr>
                        <w:r w:rsidRPr="00C9136C">
                          <w:rPr>
                            <w:b/>
                            <w:bCs/>
                          </w:rPr>
                          <w:t>Hillsborough Commissioners Seek Applications for Citizen Boards and Councils </w:t>
                        </w:r>
                        <w:r w:rsidRPr="00C9136C">
                          <w:br/>
                        </w:r>
                        <w:r w:rsidRPr="00C9136C">
                          <w:rPr>
                            <w:i/>
                            <w:iCs/>
                          </w:rPr>
                          <w:t xml:space="preserve">Applications are due by close of business on July 9, </w:t>
                        </w:r>
                        <w:proofErr w:type="gramStart"/>
                        <w:r w:rsidRPr="00C9136C">
                          <w:rPr>
                            <w:i/>
                            <w:iCs/>
                          </w:rPr>
                          <w:t>2025</w:t>
                        </w:r>
                        <w:proofErr w:type="gramEnd"/>
                        <w:r w:rsidRPr="00C9136C">
                          <w:rPr>
                            <w:i/>
                            <w:iCs/>
                          </w:rPr>
                          <w:t> </w:t>
                        </w:r>
                      </w:p>
                    </w:tc>
                  </w:tr>
                </w:tbl>
                <w:p w14:paraId="2C430FCC" w14:textId="77777777" w:rsidR="00C9136C" w:rsidRPr="00C9136C" w:rsidRDefault="00C9136C" w:rsidP="00C9136C"/>
              </w:tc>
            </w:tr>
          </w:tbl>
          <w:p w14:paraId="5A7CBC88" w14:textId="77777777" w:rsidR="00C9136C" w:rsidRPr="00C9136C" w:rsidRDefault="00C9136C" w:rsidP="00C9136C">
            <w:pPr>
              <w:rPr>
                <w:vanish/>
              </w:rPr>
            </w:pPr>
          </w:p>
          <w:tbl>
            <w:tblPr>
              <w:tblW w:w="5000" w:type="pct"/>
              <w:tblCellMar>
                <w:left w:w="0" w:type="dxa"/>
                <w:right w:w="0" w:type="dxa"/>
              </w:tblCellMar>
              <w:tblLook w:val="04A0" w:firstRow="1" w:lastRow="0" w:firstColumn="1" w:lastColumn="0" w:noHBand="0" w:noVBand="1"/>
            </w:tblPr>
            <w:tblGrid>
              <w:gridCol w:w="10800"/>
            </w:tblGrid>
            <w:tr w:rsidR="00C9136C" w:rsidRPr="00C9136C" w14:paraId="48DF2AF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C9136C" w:rsidRPr="00C9136C" w14:paraId="7001F69C" w14:textId="77777777">
                    <w:tc>
                      <w:tcPr>
                        <w:tcW w:w="0" w:type="auto"/>
                        <w:tcMar>
                          <w:top w:w="0" w:type="dxa"/>
                          <w:left w:w="270" w:type="dxa"/>
                          <w:bottom w:w="135" w:type="dxa"/>
                          <w:right w:w="270" w:type="dxa"/>
                        </w:tcMar>
                        <w:hideMark/>
                      </w:tcPr>
                      <w:p w14:paraId="7E59A031" w14:textId="77777777" w:rsidR="00C9136C" w:rsidRPr="00C9136C" w:rsidRDefault="00C9136C" w:rsidP="00C9136C">
                        <w:r w:rsidRPr="00C9136C">
                          <w:rPr>
                            <w:b/>
                            <w:bCs/>
                          </w:rPr>
                          <w:t>Hillsborough County, Fla. (June 20, 2025) –</w:t>
                        </w:r>
                        <w:r w:rsidRPr="00C9136C">
                          <w:t> Hillsborough County Commissioners are seeking residents to serve on the newly created </w:t>
                        </w:r>
                        <w:r w:rsidRPr="00C9136C">
                          <w:rPr>
                            <w:b/>
                            <w:bCs/>
                          </w:rPr>
                          <w:t>Hillsborough DOGE Liaison Committee</w:t>
                        </w:r>
                        <w:r w:rsidRPr="00C9136C">
                          <w:t>. Residents interested in seeking appointment must reside in and be registered voters in Hillsborough County. These are voluntary positions and members serve without compensation. Applicants may only serve on one board at a time unless specifically approved by the BOCC.  </w:t>
                        </w:r>
                      </w:p>
                      <w:p w14:paraId="4F63827E" w14:textId="77777777" w:rsidR="00C9136C" w:rsidRPr="00C9136C" w:rsidRDefault="00C9136C" w:rsidP="00C9136C">
                        <w:r w:rsidRPr="00C9136C">
                          <w:t>Citizens interested in being considered for appointment </w:t>
                        </w:r>
                        <w:r w:rsidRPr="00C9136C">
                          <w:rPr>
                            <w:b/>
                            <w:bCs/>
                          </w:rPr>
                          <w:t>must submit</w:t>
                        </w:r>
                        <w:r w:rsidRPr="00C9136C">
                          <w:t>: </w:t>
                        </w:r>
                      </w:p>
                      <w:p w14:paraId="3791FE01" w14:textId="77777777" w:rsidR="00C9136C" w:rsidRPr="00C9136C" w:rsidRDefault="00C9136C" w:rsidP="00C9136C">
                        <w:pPr>
                          <w:numPr>
                            <w:ilvl w:val="0"/>
                            <w:numId w:val="1"/>
                          </w:numPr>
                        </w:pPr>
                        <w:r w:rsidRPr="00C9136C">
                          <w:t>a complete </w:t>
                        </w:r>
                        <w:hyperlink r:id="rId6" w:tgtFrame="_blank" w:history="1">
                          <w:r w:rsidRPr="00C9136C">
                            <w:rPr>
                              <w:rStyle w:val="Hyperlink"/>
                            </w:rPr>
                            <w:t>Application/Questionnaire</w:t>
                          </w:r>
                        </w:hyperlink>
                        <w:r w:rsidRPr="00C9136C">
                          <w:t>  </w:t>
                        </w:r>
                      </w:p>
                      <w:p w14:paraId="76CA4B38" w14:textId="77777777" w:rsidR="00C9136C" w:rsidRPr="00C9136C" w:rsidRDefault="00C9136C" w:rsidP="00C9136C">
                        <w:pPr>
                          <w:numPr>
                            <w:ilvl w:val="0"/>
                            <w:numId w:val="2"/>
                          </w:numPr>
                        </w:pPr>
                        <w:r w:rsidRPr="00C9136C">
                          <w:t>a </w:t>
                        </w:r>
                        <w:hyperlink r:id="rId7" w:tgtFrame="_blank" w:history="1">
                          <w:r w:rsidRPr="00C9136C">
                            <w:rPr>
                              <w:rStyle w:val="Hyperlink"/>
                            </w:rPr>
                            <w:t>Standards of Conduct Form</w:t>
                          </w:r>
                        </w:hyperlink>
                        <w:r w:rsidRPr="00C9136C">
                          <w:t> </w:t>
                        </w:r>
                      </w:p>
                      <w:p w14:paraId="49B4A1E6" w14:textId="77777777" w:rsidR="00C9136C" w:rsidRPr="00C9136C" w:rsidRDefault="00C9136C" w:rsidP="00C9136C">
                        <w:pPr>
                          <w:numPr>
                            <w:ilvl w:val="0"/>
                            <w:numId w:val="3"/>
                          </w:numPr>
                        </w:pPr>
                        <w:r w:rsidRPr="00C9136C">
                          <w:t>a Resume </w:t>
                        </w:r>
                      </w:p>
                      <w:p w14:paraId="31B3C674" w14:textId="77777777" w:rsidR="00C9136C" w:rsidRPr="00C9136C" w:rsidRDefault="00C9136C" w:rsidP="00C9136C">
                        <w:r w:rsidRPr="00C9136C">
                          <w:rPr>
                            <w:b/>
                            <w:bCs/>
                          </w:rPr>
                          <w:t>All forms must be signed and dated, and all questions must be answered in entirety to be eligible.</w:t>
                        </w:r>
                        <w:r w:rsidRPr="00C9136C">
                          <w:rPr>
                            <w:rFonts w:ascii="Arial" w:hAnsi="Arial" w:cs="Arial"/>
                            <w:b/>
                            <w:bCs/>
                          </w:rPr>
                          <w:t> </w:t>
                        </w:r>
                        <w:r w:rsidRPr="00C9136C">
                          <w:rPr>
                            <w:b/>
                            <w:bCs/>
                          </w:rPr>
                          <w:t xml:space="preserve"> Incomplete applications will not be considered.</w:t>
                        </w:r>
                        <w:r w:rsidRPr="00C9136C">
                          <w:rPr>
                            <w:rFonts w:ascii="Aptos" w:hAnsi="Aptos" w:cs="Aptos"/>
                            <w:b/>
                            <w:bCs/>
                          </w:rPr>
                          <w:t>   </w:t>
                        </w:r>
                      </w:p>
                      <w:p w14:paraId="58D11812" w14:textId="77777777" w:rsidR="00C9136C" w:rsidRPr="00C9136C" w:rsidRDefault="00C9136C" w:rsidP="00C9136C">
                        <w:r w:rsidRPr="00C9136C">
                          <w:t>The application is </w:t>
                        </w:r>
                        <w:r w:rsidRPr="00C9136C">
                          <w:rPr>
                            <w:b/>
                            <w:bCs/>
                          </w:rPr>
                          <w:t>due by close of business on July 9, 2025</w:t>
                        </w:r>
                        <w:r w:rsidRPr="00C9136C">
                          <w:t>. Appointments will be scheduled for a meeting of the Board of County Commissioners in </w:t>
                        </w:r>
                        <w:r w:rsidRPr="00C9136C">
                          <w:rPr>
                            <w:b/>
                            <w:bCs/>
                          </w:rPr>
                          <w:t>July or August</w:t>
                        </w:r>
                        <w:r w:rsidRPr="00C9136C">
                          <w:t>. </w:t>
                        </w:r>
                      </w:p>
                      <w:p w14:paraId="689552C3" w14:textId="77777777" w:rsidR="00C9136C" w:rsidRPr="00C9136C" w:rsidRDefault="00C9136C" w:rsidP="00C9136C">
                        <w:r w:rsidRPr="00C9136C">
                          <w:t>Forms can be </w:t>
                        </w:r>
                        <w:r w:rsidRPr="00C9136C">
                          <w:rPr>
                            <w:b/>
                            <w:bCs/>
                          </w:rPr>
                          <w:t>- Mailed to</w:t>
                        </w:r>
                        <w:r w:rsidRPr="00C9136C">
                          <w:t>: P. O. Box 1110, Tampa, FL 33601  </w:t>
                        </w:r>
                      </w:p>
                      <w:p w14:paraId="4394F614" w14:textId="77777777" w:rsidR="00C9136C" w:rsidRPr="00C9136C" w:rsidRDefault="00C9136C" w:rsidP="00C9136C">
                        <w:r w:rsidRPr="00C9136C">
                          <w:rPr>
                            <w:b/>
                            <w:bCs/>
                          </w:rPr>
                          <w:t>Emailed to</w:t>
                        </w:r>
                        <w:r w:rsidRPr="00C9136C">
                          <w:t>: </w:t>
                        </w:r>
                        <w:hyperlink r:id="rId8" w:tgtFrame="_blank" w:history="1">
                          <w:r w:rsidRPr="00C9136C">
                            <w:rPr>
                              <w:rStyle w:val="Hyperlink"/>
                            </w:rPr>
                            <w:t>Rotgerg@HCFL.gov</w:t>
                          </w:r>
                        </w:hyperlink>
                        <w:r w:rsidRPr="00C9136C">
                          <w:t> </w:t>
                        </w:r>
                      </w:p>
                      <w:p w14:paraId="44B1450B" w14:textId="77777777" w:rsidR="00C9136C" w:rsidRPr="00C9136C" w:rsidRDefault="00C9136C" w:rsidP="00C9136C">
                        <w:r w:rsidRPr="00C9136C">
                          <w:rPr>
                            <w:b/>
                            <w:bCs/>
                          </w:rPr>
                          <w:t xml:space="preserve">Delivered </w:t>
                        </w:r>
                        <w:proofErr w:type="gramStart"/>
                        <w:r w:rsidRPr="00C9136C">
                          <w:rPr>
                            <w:b/>
                            <w:bCs/>
                          </w:rPr>
                          <w:t>to</w:t>
                        </w:r>
                        <w:r w:rsidRPr="00C9136C">
                          <w:t>:</w:t>
                        </w:r>
                        <w:proofErr w:type="gramEnd"/>
                        <w:r w:rsidRPr="00C9136C">
                          <w:t xml:space="preserve"> 601 E. Kennedy Blvd., 2nd Floor, Tampa 33602 </w:t>
                        </w:r>
                      </w:p>
                      <w:p w14:paraId="5FB2806D" w14:textId="77777777" w:rsidR="00C9136C" w:rsidRPr="00C9136C" w:rsidRDefault="00C9136C" w:rsidP="00C9136C">
                        <w:r w:rsidRPr="00C9136C">
                          <w:rPr>
                            <w:b/>
                            <w:bCs/>
                            <w:u w:val="single"/>
                          </w:rPr>
                          <w:t>HILLSBOROUGH DOGE LIAISON COMMITTEE </w:t>
                        </w:r>
                      </w:p>
                      <w:p w14:paraId="5DF5AFBC" w14:textId="77777777" w:rsidR="00C9136C" w:rsidRPr="00C9136C" w:rsidRDefault="00C9136C" w:rsidP="00C9136C">
                        <w:r w:rsidRPr="00C9136C">
                          <w:t>This committee serves as an advisory role to the Board and County Administrator in its participation with the EOG DOGE Team. The Liaison Committee shall be comprised of five (5) members selected by majority vote of the Board. The Liaison Committee is authorized to meet monthly for up to one year after initiation of the EOG DOGE Team engagement with Hillsborough County, which may only be extended by majority vote of the Board. The Liaison Committee will provide written updates monthly, with a final report at the conclusion of its work. </w:t>
                        </w:r>
                      </w:p>
                      <w:p w14:paraId="3563ACD8" w14:textId="77777777" w:rsidR="00C9136C" w:rsidRPr="00C9136C" w:rsidRDefault="00C9136C" w:rsidP="00C9136C">
                        <w:r w:rsidRPr="00C9136C">
                          <w:lastRenderedPageBreak/>
                          <w:t xml:space="preserve">Five positions are open. Member terms are for one year. Each prospective member shall possess at least one (1) of the following educational credentials: 1) Accountant; 2) Economist; 3) Finance Professional; 4) Certified Auditor; 5) IT Professional </w:t>
                        </w:r>
                        <w:proofErr w:type="gramStart"/>
                        <w:r w:rsidRPr="00C9136C">
                          <w:t>and;</w:t>
                        </w:r>
                        <w:proofErr w:type="gramEnd"/>
                        <w:r w:rsidRPr="00C9136C">
                          <w:t xml:space="preserve"> 6) Human Resources Professional.  </w:t>
                        </w:r>
                      </w:p>
                      <w:p w14:paraId="4BEAA360" w14:textId="77777777" w:rsidR="00C9136C" w:rsidRPr="00C9136C" w:rsidRDefault="00C9136C" w:rsidP="00C9136C">
                        <w:r w:rsidRPr="00C9136C">
                          <w:t>Citizens appointed to this Committee must reside in Hillsborough County. </w:t>
                        </w:r>
                      </w:p>
                      <w:p w14:paraId="038A699A" w14:textId="77777777" w:rsidR="00C9136C" w:rsidRPr="00C9136C" w:rsidRDefault="00C9136C" w:rsidP="00C9136C">
                        <w:r w:rsidRPr="00C9136C">
                          <w:rPr>
                            <w:b/>
                            <w:bCs/>
                            <w:u w:val="single"/>
                          </w:rPr>
                          <w:t>Meeting schedule</w:t>
                        </w:r>
                        <w:r w:rsidRPr="00C9136C">
                          <w:rPr>
                            <w:b/>
                            <w:bCs/>
                          </w:rPr>
                          <w:t>:</w:t>
                        </w:r>
                        <w:r w:rsidRPr="00C9136C">
                          <w:t> Monthly. </w:t>
                        </w:r>
                      </w:p>
                    </w:tc>
                  </w:tr>
                </w:tbl>
                <w:p w14:paraId="165EAB52" w14:textId="77777777" w:rsidR="00C9136C" w:rsidRPr="00C9136C" w:rsidRDefault="00C9136C" w:rsidP="00C9136C"/>
              </w:tc>
            </w:tr>
          </w:tbl>
          <w:p w14:paraId="347F9507" w14:textId="77777777" w:rsidR="00C9136C" w:rsidRPr="00C9136C" w:rsidRDefault="00C9136C" w:rsidP="00C9136C"/>
        </w:tc>
      </w:tr>
    </w:tbl>
    <w:p w14:paraId="5896A05D" w14:textId="77777777" w:rsidR="00966133" w:rsidRDefault="00966133"/>
    <w:sectPr w:rsidR="00966133" w:rsidSect="00325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47F5C"/>
    <w:multiLevelType w:val="multilevel"/>
    <w:tmpl w:val="5FB61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55966"/>
    <w:multiLevelType w:val="multilevel"/>
    <w:tmpl w:val="E14E2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ED1D8E"/>
    <w:multiLevelType w:val="multilevel"/>
    <w:tmpl w:val="0D665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3520">
    <w:abstractNumId w:val="1"/>
  </w:num>
  <w:num w:numId="2" w16cid:durableId="551577277">
    <w:abstractNumId w:val="2"/>
  </w:num>
  <w:num w:numId="3" w16cid:durableId="27382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6C"/>
    <w:rsid w:val="00176C67"/>
    <w:rsid w:val="00325357"/>
    <w:rsid w:val="00335520"/>
    <w:rsid w:val="00467FFA"/>
    <w:rsid w:val="007B627C"/>
    <w:rsid w:val="00966133"/>
    <w:rsid w:val="00AD0538"/>
    <w:rsid w:val="00B640B8"/>
    <w:rsid w:val="00C9136C"/>
    <w:rsid w:val="00D73A42"/>
    <w:rsid w:val="00EB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F9A7"/>
  <w15:chartTrackingRefBased/>
  <w15:docId w15:val="{D4DC6340-8538-41B7-A00B-F7A85390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36C"/>
    <w:rPr>
      <w:rFonts w:eastAsiaTheme="majorEastAsia" w:cstheme="majorBidi"/>
      <w:color w:val="272727" w:themeColor="text1" w:themeTint="D8"/>
    </w:rPr>
  </w:style>
  <w:style w:type="paragraph" w:styleId="Title">
    <w:name w:val="Title"/>
    <w:basedOn w:val="Normal"/>
    <w:next w:val="Normal"/>
    <w:link w:val="TitleChar"/>
    <w:uiPriority w:val="10"/>
    <w:qFormat/>
    <w:rsid w:val="00C91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36C"/>
    <w:pPr>
      <w:spacing w:before="160"/>
      <w:jc w:val="center"/>
    </w:pPr>
    <w:rPr>
      <w:i/>
      <w:iCs/>
      <w:color w:val="404040" w:themeColor="text1" w:themeTint="BF"/>
    </w:rPr>
  </w:style>
  <w:style w:type="character" w:customStyle="1" w:styleId="QuoteChar">
    <w:name w:val="Quote Char"/>
    <w:basedOn w:val="DefaultParagraphFont"/>
    <w:link w:val="Quote"/>
    <w:uiPriority w:val="29"/>
    <w:rsid w:val="00C9136C"/>
    <w:rPr>
      <w:i/>
      <w:iCs/>
      <w:color w:val="404040" w:themeColor="text1" w:themeTint="BF"/>
    </w:rPr>
  </w:style>
  <w:style w:type="paragraph" w:styleId="ListParagraph">
    <w:name w:val="List Paragraph"/>
    <w:basedOn w:val="Normal"/>
    <w:uiPriority w:val="34"/>
    <w:qFormat/>
    <w:rsid w:val="00C9136C"/>
    <w:pPr>
      <w:ind w:left="720"/>
      <w:contextualSpacing/>
    </w:pPr>
  </w:style>
  <w:style w:type="character" w:styleId="IntenseEmphasis">
    <w:name w:val="Intense Emphasis"/>
    <w:basedOn w:val="DefaultParagraphFont"/>
    <w:uiPriority w:val="21"/>
    <w:qFormat/>
    <w:rsid w:val="00C9136C"/>
    <w:rPr>
      <w:i/>
      <w:iCs/>
      <w:color w:val="0F4761" w:themeColor="accent1" w:themeShade="BF"/>
    </w:rPr>
  </w:style>
  <w:style w:type="paragraph" w:styleId="IntenseQuote">
    <w:name w:val="Intense Quote"/>
    <w:basedOn w:val="Normal"/>
    <w:next w:val="Normal"/>
    <w:link w:val="IntenseQuoteChar"/>
    <w:uiPriority w:val="30"/>
    <w:qFormat/>
    <w:rsid w:val="00C91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36C"/>
    <w:rPr>
      <w:i/>
      <w:iCs/>
      <w:color w:val="0F4761" w:themeColor="accent1" w:themeShade="BF"/>
    </w:rPr>
  </w:style>
  <w:style w:type="character" w:styleId="IntenseReference">
    <w:name w:val="Intense Reference"/>
    <w:basedOn w:val="DefaultParagraphFont"/>
    <w:uiPriority w:val="32"/>
    <w:qFormat/>
    <w:rsid w:val="00C9136C"/>
    <w:rPr>
      <w:b/>
      <w:bCs/>
      <w:smallCaps/>
      <w:color w:val="0F4761" w:themeColor="accent1" w:themeShade="BF"/>
      <w:spacing w:val="5"/>
    </w:rPr>
  </w:style>
  <w:style w:type="character" w:styleId="Hyperlink">
    <w:name w:val="Hyperlink"/>
    <w:basedOn w:val="DefaultParagraphFont"/>
    <w:uiPriority w:val="99"/>
    <w:unhideWhenUsed/>
    <w:rsid w:val="00C9136C"/>
    <w:rPr>
      <w:color w:val="467886" w:themeColor="hyperlink"/>
      <w:u w:val="single"/>
    </w:rPr>
  </w:style>
  <w:style w:type="character" w:styleId="UnresolvedMention">
    <w:name w:val="Unresolved Mention"/>
    <w:basedOn w:val="DefaultParagraphFont"/>
    <w:uiPriority w:val="99"/>
    <w:semiHidden/>
    <w:unhideWhenUsed/>
    <w:rsid w:val="00C91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2523">
      <w:bodyDiv w:val="1"/>
      <w:marLeft w:val="0"/>
      <w:marRight w:val="0"/>
      <w:marTop w:val="0"/>
      <w:marBottom w:val="0"/>
      <w:divBdr>
        <w:top w:val="none" w:sz="0" w:space="0" w:color="auto"/>
        <w:left w:val="none" w:sz="0" w:space="0" w:color="auto"/>
        <w:bottom w:val="none" w:sz="0" w:space="0" w:color="auto"/>
        <w:right w:val="none" w:sz="0" w:space="0" w:color="auto"/>
      </w:divBdr>
    </w:div>
    <w:div w:id="15077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tgerg@HCFL.gov" TargetMode="External"/><Relationship Id="rId3" Type="http://schemas.openxmlformats.org/officeDocument/2006/relationships/settings" Target="settings.xml"/><Relationship Id="rId7" Type="http://schemas.openxmlformats.org/officeDocument/2006/relationships/hyperlink" Target="https://assets.contentstack.io/v3/assets/blteea73b27b731f985/blt1cde484b970d7a14/Standards_of_Conduct_Form-PD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contentstack.io/v3/assets/blteea73b27b731f985/blt8ccb10d547b475fc/Questionnaire_for_County_Appointments_PDF.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2140</Characters>
  <Application>Microsoft Office Word</Application>
  <DocSecurity>0</DocSecurity>
  <Lines>17</Lines>
  <Paragraphs>5</Paragraphs>
  <ScaleCrop>false</ScaleCrop>
  <Company>Hillsborough County BOCC</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Rabiah (Robbi)</dc:creator>
  <cp:keywords/>
  <dc:description/>
  <cp:lastModifiedBy>Smith, Rabiah (Robbi)</cp:lastModifiedBy>
  <cp:revision>2</cp:revision>
  <dcterms:created xsi:type="dcterms:W3CDTF">2025-06-20T16:44:00Z</dcterms:created>
  <dcterms:modified xsi:type="dcterms:W3CDTF">2025-06-20T16:48:00Z</dcterms:modified>
</cp:coreProperties>
</file>