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0" w:type="dxa"/>
        <w:tblCellMar>
          <w:left w:w="0" w:type="dxa"/>
          <w:right w:w="0" w:type="dxa"/>
        </w:tblCellMar>
        <w:tblLook w:val="04A0" w:firstRow="1" w:lastRow="0" w:firstColumn="1" w:lastColumn="0" w:noHBand="0" w:noVBand="1"/>
      </w:tblPr>
      <w:tblGrid>
        <w:gridCol w:w="4457"/>
        <w:gridCol w:w="4903"/>
      </w:tblGrid>
      <w:tr w:rsidR="007703B0" w:rsidRPr="007703B0" w14:paraId="15A78F0D" w14:textId="77777777">
        <w:trPr>
          <w:tblCellSpacing w:w="0" w:type="dxa"/>
        </w:trPr>
        <w:tc>
          <w:tcPr>
            <w:tcW w:w="4500" w:type="dxa"/>
            <w:hideMark/>
          </w:tcPr>
          <w:tbl>
            <w:tblPr>
              <w:tblW w:w="4500" w:type="dxa"/>
              <w:jc w:val="center"/>
              <w:tblCellSpacing w:w="0" w:type="dxa"/>
              <w:tblCellMar>
                <w:left w:w="0" w:type="dxa"/>
                <w:right w:w="0" w:type="dxa"/>
              </w:tblCellMar>
              <w:tblLook w:val="04A0" w:firstRow="1" w:lastRow="0" w:firstColumn="1" w:lastColumn="0" w:noHBand="0" w:noVBand="1"/>
            </w:tblPr>
            <w:tblGrid>
              <w:gridCol w:w="4500"/>
            </w:tblGrid>
            <w:tr w:rsidR="007703B0" w:rsidRPr="007703B0" w14:paraId="10DEB8FB" w14:textId="77777777">
              <w:trPr>
                <w:tblCellSpacing w:w="0" w:type="dxa"/>
                <w:jc w:val="center"/>
              </w:trPr>
              <w:tc>
                <w:tcPr>
                  <w:tcW w:w="0" w:type="auto"/>
                  <w:tcMar>
                    <w:top w:w="150" w:type="dxa"/>
                    <w:left w:w="300" w:type="dxa"/>
                    <w:bottom w:w="150" w:type="dxa"/>
                    <w:right w:w="150" w:type="dxa"/>
                  </w:tcMar>
                  <w:hideMark/>
                </w:tcPr>
                <w:p w14:paraId="68E2DD6F" w14:textId="672DC620" w:rsidR="007703B0" w:rsidRPr="007703B0" w:rsidRDefault="007703B0" w:rsidP="007703B0">
                  <w:pPr>
                    <w:spacing w:line="240" w:lineRule="auto"/>
                    <w:contextualSpacing/>
                    <w:rPr>
                      <w:b/>
                      <w:bCs/>
                    </w:rPr>
                  </w:pPr>
                  <w:r w:rsidRPr="007703B0">
                    <w:rPr>
                      <w:b/>
                      <w:bCs/>
                    </w:rPr>
                    <w:t>Winterkill Is More Than Just Cold Temperatures</w:t>
                  </w:r>
                </w:p>
                <w:p w14:paraId="6255E9F4" w14:textId="298AB57A" w:rsidR="007703B0" w:rsidRPr="007703B0" w:rsidRDefault="007703B0" w:rsidP="007703B0">
                  <w:pPr>
                    <w:spacing w:line="240" w:lineRule="auto"/>
                    <w:contextualSpacing/>
                  </w:pPr>
                  <w:proofErr w:type="spellStart"/>
                  <w:r w:rsidRPr="007703B0">
                    <w:t>Mingying</w:t>
                  </w:r>
                  <w:proofErr w:type="spellEnd"/>
                  <w:r w:rsidRPr="007703B0">
                    <w:t xml:space="preserve"> Xiang, PhD, Professor of Turfgrass Science / Turf Extension Specialist and Dennis Martin, PhD, Professor of Turfgrass Science / Turf Extension Specialist</w:t>
                  </w:r>
                </w:p>
                <w:p w14:paraId="14FD0E6F" w14:textId="77777777" w:rsidR="007703B0" w:rsidRPr="007703B0" w:rsidRDefault="007703B0" w:rsidP="007703B0">
                  <w:pPr>
                    <w:spacing w:line="240" w:lineRule="auto"/>
                    <w:contextualSpacing/>
                  </w:pPr>
                  <w:r w:rsidRPr="007703B0">
                    <w:br/>
                  </w:r>
                </w:p>
                <w:p w14:paraId="4B1F752A" w14:textId="77777777" w:rsidR="007703B0" w:rsidRPr="007703B0" w:rsidRDefault="007703B0" w:rsidP="007703B0">
                  <w:pPr>
                    <w:spacing w:line="240" w:lineRule="auto"/>
                    <w:contextualSpacing/>
                  </w:pPr>
                  <w:r w:rsidRPr="007703B0">
                    <w:t>At this time of year, county Extension offices often receive questions about brown turf areas that have not greened up, and many homeowners begin to wonder what happened to their lawns. While these issues are commonly attributed to “winterkill,” turfgrass losses are not always caused by freezing temperatures alone. In turf systems, winterkill is better understood as turfgrass death occurring during or following winter due to </w:t>
                  </w:r>
                  <w:r w:rsidRPr="007703B0">
                    <w:rPr>
                      <w:b/>
                      <w:bCs/>
                    </w:rPr>
                    <w:t>multiple interacting stresses</w:t>
                  </w:r>
                  <w:r w:rsidRPr="007703B0">
                    <w:t>. In many cases, cold temperatures are only one part of a much larger, cumulative problem.</w:t>
                  </w:r>
                </w:p>
              </w:tc>
            </w:tr>
          </w:tbl>
          <w:p w14:paraId="4B6B3E2A" w14:textId="77777777" w:rsidR="007703B0" w:rsidRPr="007703B0" w:rsidRDefault="007703B0" w:rsidP="007703B0">
            <w:pPr>
              <w:spacing w:line="240" w:lineRule="auto"/>
              <w:contextualSpacing/>
            </w:pPr>
          </w:p>
        </w:tc>
        <w:tc>
          <w:tcPr>
            <w:tcW w:w="4500" w:type="dxa"/>
            <w:hideMark/>
          </w:tcPr>
          <w:tbl>
            <w:tblPr>
              <w:tblW w:w="4500" w:type="dxa"/>
              <w:jc w:val="center"/>
              <w:tblCellSpacing w:w="0" w:type="dxa"/>
              <w:tblCellMar>
                <w:left w:w="0" w:type="dxa"/>
                <w:right w:w="0" w:type="dxa"/>
              </w:tblCellMar>
              <w:tblLook w:val="04A0" w:firstRow="1" w:lastRow="0" w:firstColumn="1" w:lastColumn="0" w:noHBand="0" w:noVBand="1"/>
            </w:tblPr>
            <w:tblGrid>
              <w:gridCol w:w="4903"/>
            </w:tblGrid>
            <w:tr w:rsidR="007703B0" w:rsidRPr="007703B0" w14:paraId="001DF2A7" w14:textId="77777777">
              <w:trPr>
                <w:tblCellSpacing w:w="0" w:type="dxa"/>
                <w:jc w:val="center"/>
              </w:trPr>
              <w:tc>
                <w:tcPr>
                  <w:tcW w:w="0" w:type="auto"/>
                  <w:tcMar>
                    <w:top w:w="150" w:type="dxa"/>
                    <w:left w:w="15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4453"/>
                  </w:tblGrid>
                  <w:tr w:rsidR="007703B0" w:rsidRPr="007703B0" w14:paraId="6E03F52F" w14:textId="77777777">
                    <w:trPr>
                      <w:tblCellSpacing w:w="0" w:type="dxa"/>
                      <w:jc w:val="center"/>
                    </w:trPr>
                    <w:tc>
                      <w:tcPr>
                        <w:tcW w:w="0" w:type="auto"/>
                        <w:vAlign w:val="center"/>
                        <w:hideMark/>
                      </w:tcPr>
                      <w:p w14:paraId="6C3CA7F3" w14:textId="4960C8A2" w:rsidR="007703B0" w:rsidRPr="007703B0" w:rsidRDefault="007703B0" w:rsidP="007703B0">
                        <w:pPr>
                          <w:spacing w:line="240" w:lineRule="auto"/>
                          <w:contextualSpacing/>
                        </w:pPr>
                        <w:r>
                          <w:rPr>
                            <w:noProof/>
                          </w:rPr>
                          <w:drawing>
                            <wp:anchor distT="0" distB="0" distL="114300" distR="114300" simplePos="0" relativeHeight="251658240" behindDoc="0" locked="0" layoutInCell="1" allowOverlap="1" wp14:anchorId="25D7DAE8" wp14:editId="20FDDB5A">
                              <wp:simplePos x="0" y="0"/>
                              <wp:positionH relativeFrom="column">
                                <wp:posOffset>57150</wp:posOffset>
                              </wp:positionH>
                              <wp:positionV relativeFrom="paragraph">
                                <wp:posOffset>-564515</wp:posOffset>
                              </wp:positionV>
                              <wp:extent cx="2638425" cy="430530"/>
                              <wp:effectExtent l="0" t="0" r="0" b="7620"/>
                              <wp:wrapNone/>
                              <wp:docPr id="15708834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883404" name="Picture 15708834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8425" cy="430530"/>
                                      </a:xfrm>
                                      <a:prstGeom prst="rect">
                                        <a:avLst/>
                                      </a:prstGeom>
                                    </pic:spPr>
                                  </pic:pic>
                                </a:graphicData>
                              </a:graphic>
                              <wp14:sizeRelH relativeFrom="margin">
                                <wp14:pctWidth>0</wp14:pctWidth>
                              </wp14:sizeRelH>
                              <wp14:sizeRelV relativeFrom="margin">
                                <wp14:pctHeight>0</wp14:pctHeight>
                              </wp14:sizeRelV>
                            </wp:anchor>
                          </w:drawing>
                        </w:r>
                        <w:r w:rsidRPr="007703B0">
                          <w:drawing>
                            <wp:inline distT="0" distB="0" distL="0" distR="0" wp14:anchorId="19D05894" wp14:editId="5C5396E9">
                              <wp:extent cx="2857500" cy="3048000"/>
                              <wp:effectExtent l="0" t="0" r="0" b="0"/>
                              <wp:docPr id="589063443" name="Picture 2" descr="a golf course green, with bermuda grass dieback consistent with winter kill inj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olf course green, with bermuda grass dieback consistent with winter kill inju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048000"/>
                                      </a:xfrm>
                                      <a:prstGeom prst="rect">
                                        <a:avLst/>
                                      </a:prstGeom>
                                      <a:noFill/>
                                      <a:ln>
                                        <a:noFill/>
                                      </a:ln>
                                    </pic:spPr>
                                  </pic:pic>
                                </a:graphicData>
                              </a:graphic>
                            </wp:inline>
                          </w:drawing>
                        </w:r>
                      </w:p>
                    </w:tc>
                  </w:tr>
                </w:tbl>
                <w:p w14:paraId="28E1F919" w14:textId="2FB816C5" w:rsidR="007703B0" w:rsidRPr="007703B0" w:rsidRDefault="007703B0" w:rsidP="007703B0">
                  <w:pPr>
                    <w:spacing w:line="240" w:lineRule="auto"/>
                    <w:contextualSpacing/>
                  </w:pPr>
                </w:p>
              </w:tc>
            </w:tr>
          </w:tbl>
          <w:p w14:paraId="17F2977C" w14:textId="77777777" w:rsidR="007703B0" w:rsidRPr="007703B0" w:rsidRDefault="007703B0" w:rsidP="007703B0">
            <w:pPr>
              <w:spacing w:line="240" w:lineRule="auto"/>
              <w:contextualSpacing/>
              <w:rPr>
                <w:vanish/>
              </w:rPr>
            </w:pPr>
          </w:p>
          <w:tbl>
            <w:tblPr>
              <w:tblW w:w="4500" w:type="dxa"/>
              <w:jc w:val="center"/>
              <w:tblCellSpacing w:w="0" w:type="dxa"/>
              <w:tblCellMar>
                <w:left w:w="0" w:type="dxa"/>
                <w:right w:w="0" w:type="dxa"/>
              </w:tblCellMar>
              <w:tblLook w:val="04A0" w:firstRow="1" w:lastRow="0" w:firstColumn="1" w:lastColumn="0" w:noHBand="0" w:noVBand="1"/>
            </w:tblPr>
            <w:tblGrid>
              <w:gridCol w:w="4500"/>
            </w:tblGrid>
            <w:tr w:rsidR="007703B0" w:rsidRPr="007703B0" w14:paraId="2AA5E5C6" w14:textId="77777777">
              <w:trPr>
                <w:tblCellSpacing w:w="0" w:type="dxa"/>
                <w:jc w:val="center"/>
              </w:trPr>
              <w:tc>
                <w:tcPr>
                  <w:tcW w:w="0" w:type="auto"/>
                  <w:tcMar>
                    <w:top w:w="150" w:type="dxa"/>
                    <w:left w:w="150" w:type="dxa"/>
                    <w:bottom w:w="150" w:type="dxa"/>
                    <w:right w:w="300" w:type="dxa"/>
                  </w:tcMar>
                  <w:hideMark/>
                </w:tcPr>
                <w:p w14:paraId="50AA26F8" w14:textId="77777777" w:rsidR="007703B0" w:rsidRPr="007703B0" w:rsidRDefault="007703B0" w:rsidP="007703B0">
                  <w:pPr>
                    <w:spacing w:line="240" w:lineRule="auto"/>
                    <w:contextualSpacing/>
                  </w:pPr>
                  <w:r w:rsidRPr="007703B0">
                    <w:t>IC: Dennis Martin</w:t>
                  </w:r>
                </w:p>
              </w:tc>
            </w:tr>
          </w:tbl>
          <w:p w14:paraId="396C9547" w14:textId="5C5EEDAA" w:rsidR="007703B0" w:rsidRPr="007703B0" w:rsidRDefault="007703B0" w:rsidP="007703B0">
            <w:pPr>
              <w:spacing w:line="240" w:lineRule="auto"/>
              <w:contextualSpacing/>
            </w:pPr>
          </w:p>
        </w:tc>
      </w:tr>
    </w:tbl>
    <w:p w14:paraId="5827996C" w14:textId="77777777" w:rsidR="007703B0" w:rsidRPr="007703B0" w:rsidRDefault="007703B0" w:rsidP="007703B0">
      <w:pPr>
        <w:spacing w:line="240" w:lineRule="auto"/>
        <w:contextualSpacing/>
        <w:rPr>
          <w:vanish/>
        </w:rPr>
      </w:pPr>
    </w:p>
    <w:tbl>
      <w:tblPr>
        <w:tblW w:w="9000" w:type="dxa"/>
        <w:tblCellSpacing w:w="0" w:type="dxa"/>
        <w:tblCellMar>
          <w:left w:w="0" w:type="dxa"/>
          <w:right w:w="0" w:type="dxa"/>
        </w:tblCellMar>
        <w:tblLook w:val="04A0" w:firstRow="1" w:lastRow="0" w:firstColumn="1" w:lastColumn="0" w:noHBand="0" w:noVBand="1"/>
      </w:tblPr>
      <w:tblGrid>
        <w:gridCol w:w="9000"/>
      </w:tblGrid>
      <w:tr w:rsidR="007703B0" w:rsidRPr="007703B0" w14:paraId="175EB1AB" w14:textId="77777777">
        <w:trPr>
          <w:tblCellSpacing w:w="0" w:type="dxa"/>
        </w:trPr>
        <w:tc>
          <w:tcPr>
            <w:tcW w:w="9000" w:type="dxa"/>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703B0" w:rsidRPr="007703B0" w14:paraId="4FE368E0" w14:textId="77777777">
              <w:trPr>
                <w:tblCellSpacing w:w="0" w:type="dxa"/>
                <w:jc w:val="center"/>
              </w:trPr>
              <w:tc>
                <w:tcPr>
                  <w:tcW w:w="0" w:type="auto"/>
                  <w:shd w:val="clear" w:color="auto" w:fill="FFFFFF"/>
                  <w:tcMar>
                    <w:top w:w="150" w:type="dxa"/>
                    <w:left w:w="300" w:type="dxa"/>
                    <w:bottom w:w="150" w:type="dxa"/>
                    <w:right w:w="300" w:type="dxa"/>
                  </w:tcMar>
                  <w:hideMark/>
                </w:tcPr>
                <w:p w14:paraId="0235AAD1" w14:textId="77777777" w:rsidR="007703B0" w:rsidRPr="007703B0" w:rsidRDefault="007703B0" w:rsidP="007703B0">
                  <w:pPr>
                    <w:spacing w:line="240" w:lineRule="auto"/>
                    <w:contextualSpacing/>
                  </w:pPr>
                  <w:r w:rsidRPr="007703B0">
                    <w:t>Research and extension observations across the transition zone have shown that winter injury can result from combinations of:</w:t>
                  </w:r>
                </w:p>
                <w:p w14:paraId="5FE6BA96" w14:textId="77777777" w:rsidR="007703B0" w:rsidRPr="007703B0" w:rsidRDefault="007703B0" w:rsidP="007703B0">
                  <w:pPr>
                    <w:numPr>
                      <w:ilvl w:val="0"/>
                      <w:numId w:val="1"/>
                    </w:numPr>
                    <w:spacing w:line="240" w:lineRule="auto"/>
                    <w:contextualSpacing/>
                  </w:pPr>
                  <w:r w:rsidRPr="007703B0">
                    <w:t>Drought stress in previous years and winter desiccation</w:t>
                  </w:r>
                </w:p>
                <w:p w14:paraId="31910235" w14:textId="77777777" w:rsidR="007703B0" w:rsidRPr="007703B0" w:rsidRDefault="007703B0" w:rsidP="007703B0">
                  <w:pPr>
                    <w:numPr>
                      <w:ilvl w:val="0"/>
                      <w:numId w:val="1"/>
                    </w:numPr>
                    <w:spacing w:line="240" w:lineRule="auto"/>
                    <w:contextualSpacing/>
                  </w:pPr>
                  <w:r w:rsidRPr="007703B0">
                    <w:t>Root damage from insects such as white grubs</w:t>
                  </w:r>
                </w:p>
                <w:p w14:paraId="230E8372" w14:textId="77777777" w:rsidR="007703B0" w:rsidRPr="007703B0" w:rsidRDefault="007703B0" w:rsidP="007703B0">
                  <w:pPr>
                    <w:numPr>
                      <w:ilvl w:val="0"/>
                      <w:numId w:val="1"/>
                    </w:numPr>
                    <w:spacing w:line="240" w:lineRule="auto"/>
                    <w:contextualSpacing/>
                  </w:pPr>
                  <w:r w:rsidRPr="007703B0">
                    <w:t>Disease pressure</w:t>
                  </w:r>
                </w:p>
                <w:p w14:paraId="7ED57E3B" w14:textId="77777777" w:rsidR="007703B0" w:rsidRPr="007703B0" w:rsidRDefault="007703B0" w:rsidP="007703B0">
                  <w:pPr>
                    <w:numPr>
                      <w:ilvl w:val="0"/>
                      <w:numId w:val="1"/>
                    </w:numPr>
                    <w:spacing w:line="240" w:lineRule="auto"/>
                    <w:contextualSpacing/>
                  </w:pPr>
                  <w:r w:rsidRPr="007703B0">
                    <w:t>Herbicide injury, especially overuse of pre-emergent herbicides</w:t>
                  </w:r>
                </w:p>
                <w:p w14:paraId="5F58AB1F" w14:textId="77777777" w:rsidR="007703B0" w:rsidRPr="007703B0" w:rsidRDefault="007703B0" w:rsidP="007703B0">
                  <w:pPr>
                    <w:numPr>
                      <w:ilvl w:val="0"/>
                      <w:numId w:val="1"/>
                    </w:numPr>
                    <w:spacing w:line="240" w:lineRule="auto"/>
                    <w:contextualSpacing/>
                  </w:pPr>
                  <w:r w:rsidRPr="007703B0">
                    <w:t>Poor drainage</w:t>
                  </w:r>
                </w:p>
                <w:p w14:paraId="67A9B0AE" w14:textId="77777777" w:rsidR="007703B0" w:rsidRPr="007703B0" w:rsidRDefault="007703B0" w:rsidP="007703B0">
                  <w:pPr>
                    <w:numPr>
                      <w:ilvl w:val="0"/>
                      <w:numId w:val="1"/>
                    </w:numPr>
                    <w:spacing w:line="240" w:lineRule="auto"/>
                    <w:contextualSpacing/>
                  </w:pPr>
                  <w:r w:rsidRPr="007703B0">
                    <w:t>Nutrient deficiencies and soil compaction</w:t>
                  </w:r>
                </w:p>
                <w:p w14:paraId="73EBFD0B" w14:textId="77777777" w:rsidR="007703B0" w:rsidRPr="007703B0" w:rsidRDefault="007703B0" w:rsidP="007703B0">
                  <w:pPr>
                    <w:numPr>
                      <w:ilvl w:val="0"/>
                      <w:numId w:val="1"/>
                    </w:numPr>
                    <w:spacing w:line="240" w:lineRule="auto"/>
                    <w:contextualSpacing/>
                  </w:pPr>
                  <w:r w:rsidRPr="007703B0">
                    <w:t>Poorly adapted species or cultivars</w:t>
                  </w:r>
                </w:p>
                <w:p w14:paraId="3F57762C" w14:textId="77777777" w:rsidR="007703B0" w:rsidRPr="007703B0" w:rsidRDefault="007703B0" w:rsidP="007703B0">
                  <w:pPr>
                    <w:numPr>
                      <w:ilvl w:val="0"/>
                      <w:numId w:val="1"/>
                    </w:numPr>
                    <w:spacing w:line="240" w:lineRule="auto"/>
                    <w:contextualSpacing/>
                  </w:pPr>
                  <w:r w:rsidRPr="007703B0">
                    <w:t>Shade stress</w:t>
                  </w:r>
                </w:p>
                <w:p w14:paraId="195D5479" w14:textId="77777777" w:rsidR="007703B0" w:rsidRPr="007703B0" w:rsidRDefault="007703B0" w:rsidP="007703B0">
                  <w:pPr>
                    <w:numPr>
                      <w:ilvl w:val="0"/>
                      <w:numId w:val="1"/>
                    </w:numPr>
                    <w:spacing w:line="240" w:lineRule="auto"/>
                    <w:contextualSpacing/>
                  </w:pPr>
                  <w:r w:rsidRPr="007703B0">
                    <w:t>Shallow or sandy soils with limited water-holding capacity</w:t>
                  </w:r>
                </w:p>
                <w:p w14:paraId="2C7E5B4F" w14:textId="77777777" w:rsidR="007703B0" w:rsidRPr="007703B0" w:rsidRDefault="007703B0" w:rsidP="007703B0">
                  <w:pPr>
                    <w:spacing w:line="240" w:lineRule="auto"/>
                    <w:contextualSpacing/>
                  </w:pPr>
                  <w:r w:rsidRPr="007703B0">
                    <w:t> </w:t>
                  </w:r>
                </w:p>
                <w:p w14:paraId="0681A5C4" w14:textId="77777777" w:rsidR="007703B0" w:rsidRPr="007703B0" w:rsidRDefault="007703B0" w:rsidP="007703B0">
                  <w:pPr>
                    <w:spacing w:line="240" w:lineRule="auto"/>
                    <w:contextualSpacing/>
                  </w:pPr>
                  <w:r w:rsidRPr="007703B0">
                    <w:t>One increasingly important consideration is the interaction between </w:t>
                  </w:r>
                  <w:r w:rsidRPr="007703B0">
                    <w:rPr>
                      <w:b/>
                      <w:bCs/>
                    </w:rPr>
                    <w:t>drought stress and insect damage</w:t>
                  </w:r>
                  <w:r w:rsidRPr="007703B0">
                    <w:t xml:space="preserve">. During drought years, irrigated turf areas may attract greater beetle egg-laying activity, potentially increasing white grub pressure in managed lawns and landscapes. Turf already weakened by root-feeding insects </w:t>
                  </w:r>
                  <w:r w:rsidRPr="007703B0">
                    <w:lastRenderedPageBreak/>
                    <w:t>can enter winter with compromised rooting and reduced carbohydrate reserves, making it more vulnerable to desiccation and other winter stresses.</w:t>
                  </w:r>
                </w:p>
                <w:p w14:paraId="36C10F4B" w14:textId="45FC341F" w:rsidR="007703B0" w:rsidRPr="007703B0" w:rsidRDefault="007703B0" w:rsidP="007703B0">
                  <w:pPr>
                    <w:spacing w:line="240" w:lineRule="auto"/>
                    <w:contextualSpacing/>
                  </w:pPr>
                </w:p>
                <w:p w14:paraId="277487D7" w14:textId="77777777" w:rsidR="007703B0" w:rsidRPr="007703B0" w:rsidRDefault="007703B0" w:rsidP="007703B0">
                  <w:pPr>
                    <w:spacing w:line="240" w:lineRule="auto"/>
                    <w:contextualSpacing/>
                  </w:pPr>
                  <w:r w:rsidRPr="007703B0">
                    <w:t>In addition, reduced use of preventative insecticide programs over the past decade, partly due to environmental and pollinator concerns may have unintentionally contributed to increased grub injury in some landscapes. While this shift reflects important environmental stewardship efforts, it also highlights the need for careful monitoring and integrated pest management rather than assuming insect pressure is no longer a concern.</w:t>
                  </w:r>
                </w:p>
                <w:p w14:paraId="3C8C038B" w14:textId="77686618" w:rsidR="007703B0" w:rsidRPr="007703B0" w:rsidRDefault="007703B0" w:rsidP="007703B0">
                  <w:pPr>
                    <w:spacing w:line="240" w:lineRule="auto"/>
                    <w:contextualSpacing/>
                  </w:pPr>
                </w:p>
                <w:p w14:paraId="6270CD6D" w14:textId="77777777" w:rsidR="007703B0" w:rsidRPr="007703B0" w:rsidRDefault="007703B0" w:rsidP="007703B0">
                  <w:pPr>
                    <w:spacing w:line="240" w:lineRule="auto"/>
                    <w:contextualSpacing/>
                  </w:pPr>
                  <w:r w:rsidRPr="007703B0">
                    <w:t>Management decisions made during the growing season can also influence winter survival. Repeated applications of long-residual herbicides, particularly on already stressed turf, may further compound injury risk when not paired with proper site assessment and stewardship.</w:t>
                  </w:r>
                </w:p>
                <w:p w14:paraId="1C85B7F3" w14:textId="7B21A8F1" w:rsidR="007703B0" w:rsidRPr="007703B0" w:rsidRDefault="007703B0" w:rsidP="007703B0">
                  <w:pPr>
                    <w:spacing w:line="240" w:lineRule="auto"/>
                    <w:contextualSpacing/>
                  </w:pPr>
                </w:p>
                <w:p w14:paraId="50EEA797" w14:textId="77777777" w:rsidR="007703B0" w:rsidRPr="007703B0" w:rsidRDefault="007703B0" w:rsidP="007703B0">
                  <w:pPr>
                    <w:spacing w:line="240" w:lineRule="auto"/>
                    <w:contextualSpacing/>
                  </w:pPr>
                  <w:r w:rsidRPr="007703B0">
                    <w:t xml:space="preserve">Current </w:t>
                  </w:r>
                  <w:proofErr w:type="gramStart"/>
                  <w:r w:rsidRPr="007703B0">
                    <w:t>bermudagrass</w:t>
                  </w:r>
                  <w:proofErr w:type="gramEnd"/>
                  <w:r w:rsidRPr="007703B0">
                    <w:t xml:space="preserve"> winterkill management guides emphasize that successful winter survival depends heavily on maintaining healthy turf throughout the year through proper irrigation, drainage, fertility, cultivar selection, pest management, and stress reduction.</w:t>
                  </w:r>
                </w:p>
                <w:p w14:paraId="6EA01C2D" w14:textId="555B1A10" w:rsidR="007703B0" w:rsidRPr="007703B0" w:rsidRDefault="007703B0" w:rsidP="007703B0">
                  <w:pPr>
                    <w:spacing w:line="240" w:lineRule="auto"/>
                    <w:contextualSpacing/>
                  </w:pPr>
                </w:p>
                <w:p w14:paraId="0F65DFC3" w14:textId="77777777" w:rsidR="007703B0" w:rsidRPr="007703B0" w:rsidRDefault="007703B0" w:rsidP="007703B0">
                  <w:pPr>
                    <w:spacing w:line="240" w:lineRule="auto"/>
                    <w:contextualSpacing/>
                    <w:rPr>
                      <w:b/>
                      <w:bCs/>
                    </w:rPr>
                  </w:pPr>
                  <w:r w:rsidRPr="007703B0">
                    <w:rPr>
                      <w:b/>
                      <w:bCs/>
                    </w:rPr>
                    <w:t>Key Takeaways for Turf Managers and Homeowners</w:t>
                  </w:r>
                </w:p>
                <w:p w14:paraId="52460797" w14:textId="77777777" w:rsidR="007703B0" w:rsidRPr="007703B0" w:rsidRDefault="007703B0" w:rsidP="007703B0">
                  <w:pPr>
                    <w:numPr>
                      <w:ilvl w:val="0"/>
                      <w:numId w:val="2"/>
                    </w:numPr>
                    <w:spacing w:line="240" w:lineRule="auto"/>
                    <w:contextualSpacing/>
                  </w:pPr>
                  <w:proofErr w:type="gramStart"/>
                  <w:r w:rsidRPr="007703B0">
                    <w:t>Winterkill is</w:t>
                  </w:r>
                  <w:proofErr w:type="gramEnd"/>
                  <w:r w:rsidRPr="007703B0">
                    <w:t xml:space="preserve"> often caused by </w:t>
                  </w:r>
                  <w:r w:rsidRPr="007703B0">
                    <w:rPr>
                      <w:b/>
                      <w:bCs/>
                    </w:rPr>
                    <w:t>multiple cumulative stresses</w:t>
                  </w:r>
                  <w:r w:rsidRPr="007703B0">
                    <w:t>, not just cold temperatures</w:t>
                  </w:r>
                </w:p>
                <w:p w14:paraId="639E1E32" w14:textId="77777777" w:rsidR="007703B0" w:rsidRPr="007703B0" w:rsidRDefault="007703B0" w:rsidP="007703B0">
                  <w:pPr>
                    <w:numPr>
                      <w:ilvl w:val="0"/>
                      <w:numId w:val="2"/>
                    </w:numPr>
                    <w:spacing w:line="240" w:lineRule="auto"/>
                    <w:contextualSpacing/>
                  </w:pPr>
                  <w:r w:rsidRPr="007703B0">
                    <w:t>Turf weakened by drought, insects, disease, or herbicide injury is more susceptible to winter injury</w:t>
                  </w:r>
                </w:p>
                <w:p w14:paraId="43F9450C" w14:textId="77777777" w:rsidR="007703B0" w:rsidRPr="007703B0" w:rsidRDefault="007703B0" w:rsidP="007703B0">
                  <w:pPr>
                    <w:numPr>
                      <w:ilvl w:val="0"/>
                      <w:numId w:val="2"/>
                    </w:numPr>
                    <w:spacing w:line="240" w:lineRule="auto"/>
                    <w:contextualSpacing/>
                  </w:pPr>
                  <w:r w:rsidRPr="007703B0">
                    <w:t xml:space="preserve">Winter desiccation can be especially severe on exposed, windy, elevated, or excessively </w:t>
                  </w:r>
                  <w:proofErr w:type="spellStart"/>
                  <w:r w:rsidRPr="007703B0">
                    <w:t>thatchy</w:t>
                  </w:r>
                  <w:proofErr w:type="spellEnd"/>
                  <w:r w:rsidRPr="007703B0">
                    <w:t xml:space="preserve"> sites</w:t>
                  </w:r>
                </w:p>
                <w:p w14:paraId="4CDAB1E1" w14:textId="77777777" w:rsidR="007703B0" w:rsidRPr="007703B0" w:rsidRDefault="007703B0" w:rsidP="007703B0">
                  <w:pPr>
                    <w:numPr>
                      <w:ilvl w:val="0"/>
                      <w:numId w:val="2"/>
                    </w:numPr>
                    <w:spacing w:line="240" w:lineRule="auto"/>
                    <w:contextualSpacing/>
                  </w:pPr>
                  <w:r w:rsidRPr="007703B0">
                    <w:t>Proactive scouting and site-specific management are critical for improving winter survival</w:t>
                  </w:r>
                </w:p>
                <w:p w14:paraId="7CE6DA61" w14:textId="2303C309" w:rsidR="007703B0" w:rsidRPr="007703B0" w:rsidRDefault="007703B0" w:rsidP="007703B0">
                  <w:pPr>
                    <w:spacing w:line="240" w:lineRule="auto"/>
                    <w:contextualSpacing/>
                  </w:pPr>
                </w:p>
                <w:p w14:paraId="3F54ACAE" w14:textId="77777777" w:rsidR="007703B0" w:rsidRPr="007703B0" w:rsidRDefault="007703B0" w:rsidP="007703B0">
                  <w:pPr>
                    <w:spacing w:line="240" w:lineRule="auto"/>
                    <w:contextualSpacing/>
                    <w:rPr>
                      <w:b/>
                      <w:bCs/>
                    </w:rPr>
                  </w:pPr>
                  <w:r w:rsidRPr="007703B0">
                    <w:rPr>
                      <w:b/>
                      <w:bCs/>
                    </w:rPr>
                    <w:t>Summary</w:t>
                  </w:r>
                </w:p>
                <w:p w14:paraId="2E71695A" w14:textId="77777777" w:rsidR="007703B0" w:rsidRPr="007703B0" w:rsidRDefault="007703B0" w:rsidP="007703B0">
                  <w:pPr>
                    <w:spacing w:line="240" w:lineRule="auto"/>
                    <w:contextualSpacing/>
                  </w:pPr>
                  <w:r w:rsidRPr="007703B0">
                    <w:t>Winterkill is best understood as a </w:t>
                  </w:r>
                  <w:r w:rsidRPr="007703B0">
                    <w:rPr>
                      <w:b/>
                      <w:bCs/>
                    </w:rPr>
                    <w:t>complex stress interaction problem</w:t>
                  </w:r>
                  <w:r w:rsidRPr="007703B0">
                    <w:t> rather than simply a low-temperature event. Improving overall turf health year-round remains the most effective strategy for reducing winter injury and improving spring recovery.</w:t>
                  </w:r>
                </w:p>
              </w:tc>
            </w:tr>
          </w:tbl>
          <w:p w14:paraId="623B48A4" w14:textId="77777777" w:rsidR="007703B0" w:rsidRPr="007703B0" w:rsidRDefault="007703B0" w:rsidP="007703B0">
            <w:pPr>
              <w:spacing w:line="240" w:lineRule="auto"/>
              <w:contextualSpacing/>
            </w:pPr>
          </w:p>
        </w:tc>
      </w:tr>
    </w:tbl>
    <w:p w14:paraId="536FF9DD" w14:textId="77777777" w:rsidR="004F4F44" w:rsidRDefault="004F4F44" w:rsidP="007703B0">
      <w:pPr>
        <w:spacing w:line="240" w:lineRule="auto"/>
        <w:contextualSpacing/>
      </w:pPr>
    </w:p>
    <w:sectPr w:rsidR="004F4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FE5"/>
    <w:multiLevelType w:val="multilevel"/>
    <w:tmpl w:val="CDF8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3784D"/>
    <w:multiLevelType w:val="multilevel"/>
    <w:tmpl w:val="E39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896792">
    <w:abstractNumId w:val="1"/>
  </w:num>
  <w:num w:numId="2" w16cid:durableId="15456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B0"/>
    <w:rsid w:val="004F4F44"/>
    <w:rsid w:val="007703B0"/>
    <w:rsid w:val="00B31E58"/>
    <w:rsid w:val="00C8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BCE5"/>
  <w15:chartTrackingRefBased/>
  <w15:docId w15:val="{BDA79D77-519B-4581-AD30-0D6E41CA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3B0"/>
    <w:rPr>
      <w:rFonts w:eastAsiaTheme="majorEastAsia" w:cstheme="majorBidi"/>
      <w:color w:val="272727" w:themeColor="text1" w:themeTint="D8"/>
    </w:rPr>
  </w:style>
  <w:style w:type="paragraph" w:styleId="Title">
    <w:name w:val="Title"/>
    <w:basedOn w:val="Normal"/>
    <w:next w:val="Normal"/>
    <w:link w:val="TitleChar"/>
    <w:uiPriority w:val="10"/>
    <w:qFormat/>
    <w:rsid w:val="00770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3B0"/>
    <w:pPr>
      <w:spacing w:before="160"/>
      <w:jc w:val="center"/>
    </w:pPr>
    <w:rPr>
      <w:i/>
      <w:iCs/>
      <w:color w:val="404040" w:themeColor="text1" w:themeTint="BF"/>
    </w:rPr>
  </w:style>
  <w:style w:type="character" w:customStyle="1" w:styleId="QuoteChar">
    <w:name w:val="Quote Char"/>
    <w:basedOn w:val="DefaultParagraphFont"/>
    <w:link w:val="Quote"/>
    <w:uiPriority w:val="29"/>
    <w:rsid w:val="007703B0"/>
    <w:rPr>
      <w:i/>
      <w:iCs/>
      <w:color w:val="404040" w:themeColor="text1" w:themeTint="BF"/>
    </w:rPr>
  </w:style>
  <w:style w:type="paragraph" w:styleId="ListParagraph">
    <w:name w:val="List Paragraph"/>
    <w:basedOn w:val="Normal"/>
    <w:uiPriority w:val="34"/>
    <w:qFormat/>
    <w:rsid w:val="007703B0"/>
    <w:pPr>
      <w:ind w:left="720"/>
      <w:contextualSpacing/>
    </w:pPr>
  </w:style>
  <w:style w:type="character" w:styleId="IntenseEmphasis">
    <w:name w:val="Intense Emphasis"/>
    <w:basedOn w:val="DefaultParagraphFont"/>
    <w:uiPriority w:val="21"/>
    <w:qFormat/>
    <w:rsid w:val="007703B0"/>
    <w:rPr>
      <w:i/>
      <w:iCs/>
      <w:color w:val="0F4761" w:themeColor="accent1" w:themeShade="BF"/>
    </w:rPr>
  </w:style>
  <w:style w:type="paragraph" w:styleId="IntenseQuote">
    <w:name w:val="Intense Quote"/>
    <w:basedOn w:val="Normal"/>
    <w:next w:val="Normal"/>
    <w:link w:val="IntenseQuoteChar"/>
    <w:uiPriority w:val="30"/>
    <w:qFormat/>
    <w:rsid w:val="00770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3B0"/>
    <w:rPr>
      <w:i/>
      <w:iCs/>
      <w:color w:val="0F4761" w:themeColor="accent1" w:themeShade="BF"/>
    </w:rPr>
  </w:style>
  <w:style w:type="character" w:styleId="IntenseReference">
    <w:name w:val="Intense Reference"/>
    <w:basedOn w:val="DefaultParagraphFont"/>
    <w:uiPriority w:val="32"/>
    <w:qFormat/>
    <w:rsid w:val="007703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 Brook</dc:creator>
  <cp:keywords/>
  <dc:description/>
  <cp:lastModifiedBy>Harman, Brook</cp:lastModifiedBy>
  <cp:revision>1</cp:revision>
  <dcterms:created xsi:type="dcterms:W3CDTF">2026-05-20T14:56:00Z</dcterms:created>
  <dcterms:modified xsi:type="dcterms:W3CDTF">2026-05-20T14:59:00Z</dcterms:modified>
</cp:coreProperties>
</file>