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61CC8" w14:textId="73B51061" w:rsidR="00117CBB" w:rsidRDefault="00117CBB" w:rsidP="00117CBB">
      <w:pPr>
        <w:rPr>
          <w:b/>
          <w:bCs/>
        </w:rPr>
      </w:pPr>
      <w:r>
        <w:rPr>
          <w:noProof/>
        </w:rPr>
        <w:drawing>
          <wp:anchor distT="0" distB="0" distL="114300" distR="114300" simplePos="0" relativeHeight="251658240" behindDoc="0" locked="0" layoutInCell="1" allowOverlap="1" wp14:anchorId="37BBA1B4" wp14:editId="04423EC5">
            <wp:simplePos x="0" y="0"/>
            <wp:positionH relativeFrom="column">
              <wp:posOffset>-333375</wp:posOffset>
            </wp:positionH>
            <wp:positionV relativeFrom="paragraph">
              <wp:posOffset>-1103630</wp:posOffset>
            </wp:positionV>
            <wp:extent cx="2876550" cy="2876550"/>
            <wp:effectExtent l="0" t="0" r="0" b="0"/>
            <wp:wrapNone/>
            <wp:docPr id="1551619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19033" name="Picture 15516190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6550" cy="2876550"/>
                    </a:xfrm>
                    <a:prstGeom prst="rect">
                      <a:avLst/>
                    </a:prstGeom>
                  </pic:spPr>
                </pic:pic>
              </a:graphicData>
            </a:graphic>
            <wp14:sizeRelH relativeFrom="margin">
              <wp14:pctWidth>0</wp14:pctWidth>
            </wp14:sizeRelH>
            <wp14:sizeRelV relativeFrom="margin">
              <wp14:pctHeight>0</wp14:pctHeight>
            </wp14:sizeRelV>
          </wp:anchor>
        </w:drawing>
      </w:r>
    </w:p>
    <w:p w14:paraId="7892FD9B" w14:textId="77777777" w:rsidR="00117CBB" w:rsidRDefault="00117CBB" w:rsidP="00117CBB">
      <w:pPr>
        <w:rPr>
          <w:b/>
          <w:bCs/>
        </w:rPr>
      </w:pPr>
    </w:p>
    <w:p w14:paraId="4210DC91" w14:textId="7513C92F" w:rsidR="00117CBB" w:rsidRDefault="00117CBB" w:rsidP="00117CBB">
      <w:pPr>
        <w:rPr>
          <w:b/>
          <w:bCs/>
        </w:rPr>
      </w:pPr>
    </w:p>
    <w:p w14:paraId="106AA172" w14:textId="77777777" w:rsidR="00117CBB" w:rsidRDefault="00117CBB" w:rsidP="00117CBB">
      <w:pPr>
        <w:rPr>
          <w:b/>
          <w:bCs/>
        </w:rPr>
      </w:pPr>
    </w:p>
    <w:p w14:paraId="151AE6D1" w14:textId="0C08AD26" w:rsidR="00117CBB" w:rsidRPr="00117CBB" w:rsidRDefault="00117CBB" w:rsidP="00117CBB">
      <w:r w:rsidRPr="00117CBB">
        <w:rPr>
          <w:b/>
          <w:bCs/>
        </w:rPr>
        <w:t>U.S. Beef Packing Industry Structure</w:t>
      </w:r>
    </w:p>
    <w:p w14:paraId="4415A2B0" w14:textId="7649D7B9" w:rsidR="00117CBB" w:rsidRPr="00117CBB" w:rsidRDefault="00117CBB" w:rsidP="00117CBB">
      <w:r w:rsidRPr="00117CBB">
        <w:t>Derrell S. Peel, Oklahoma State University Extension Livestock Marketing Specialist</w:t>
      </w:r>
    </w:p>
    <w:p w14:paraId="158DB571" w14:textId="63A2616F" w:rsidR="00117CBB" w:rsidRDefault="00117CBB" w:rsidP="00117CBB">
      <w:r w:rsidRPr="00117CBB">
        <w:t xml:space="preserve">In 2025, total cattle slaughter was 29.252 million head, down 6.4 percent year over year and down 13.1 percent from the recent cyclical peak in 2022.  Cattle slaughter in 2025 was at the lowest level since 2015.  Table 1 shows the breakdown of 2025 cattle slaughter by size categories of beef packing plants.  This includes both fed and cow slaughter plants. Out of a total of 937 federally inspected packing plants, 94.8 percent (888 plants with capacity up to 100,000 head per year) accounted for 1.92 million head, 7.14 percent of total slaughter.  By contrast, a total of eleven plants, with capacity </w:t>
      </w:r>
      <w:proofErr w:type="gramStart"/>
      <w:r w:rsidRPr="00117CBB">
        <w:t>in excess of</w:t>
      </w:r>
      <w:proofErr w:type="gramEnd"/>
      <w:r w:rsidRPr="00117CBB">
        <w:t xml:space="preserve"> one million head per year, accounted for 13.834 million head, or 47.3 percent of total cattle slaughter.  On average, fed slaughter is about 80 percent of total cattle slaughter.  These eleven plants accounted for 58.1 percent of fed slaughter (Figure 3).  Fed slaughter is currently 81.4 percent of total cattle slaughter, the highest percentage since 2007.  Low cow slaughter since 2022 has increased the fed slaughter percentage.</w:t>
      </w:r>
    </w:p>
    <w:p w14:paraId="127C156A" w14:textId="01BF2FD4" w:rsidR="00117CBB" w:rsidRDefault="00117CBB" w:rsidP="00117CBB"/>
    <w:p w14:paraId="5E11928F" w14:textId="1DC66551" w:rsidR="00117CBB" w:rsidRDefault="00117CBB" w:rsidP="00117CBB"/>
    <w:p w14:paraId="4FCFC347" w14:textId="23C5BB74" w:rsidR="00117CBB" w:rsidRDefault="00117CBB" w:rsidP="00117CBB"/>
    <w:p w14:paraId="7B4C85C2" w14:textId="77777777" w:rsidR="00117CBB" w:rsidRDefault="00117CBB" w:rsidP="00117CBB"/>
    <w:p w14:paraId="40DF5645" w14:textId="77777777" w:rsidR="00117CBB" w:rsidRDefault="00117CBB" w:rsidP="00117CBB"/>
    <w:p w14:paraId="5C6150CF" w14:textId="77777777" w:rsidR="00117CBB" w:rsidRDefault="00117CBB" w:rsidP="00117CBB"/>
    <w:p w14:paraId="11085C59" w14:textId="77777777" w:rsidR="00117CBB" w:rsidRDefault="00117CBB" w:rsidP="00117CBB"/>
    <w:p w14:paraId="7F458572" w14:textId="77777777" w:rsidR="00117CBB" w:rsidRDefault="00117CBB" w:rsidP="00117CBB"/>
    <w:p w14:paraId="69805B5A" w14:textId="77777777" w:rsidR="00117CBB" w:rsidRDefault="00117CBB" w:rsidP="00117CBB"/>
    <w:p w14:paraId="5BFC9877" w14:textId="77777777" w:rsidR="00117CBB" w:rsidRDefault="00117CBB" w:rsidP="00117CBB"/>
    <w:p w14:paraId="2110AB55" w14:textId="77777777" w:rsidR="00117CBB" w:rsidRDefault="00117CBB" w:rsidP="00117CBB"/>
    <w:p w14:paraId="74CBB60F" w14:textId="2B12F848" w:rsidR="00117CBB" w:rsidRPr="00117CBB" w:rsidRDefault="00117CBB" w:rsidP="00117CBB">
      <w:r w:rsidRPr="00117CBB">
        <w:lastRenderedPageBreak/>
        <w:t>Table 1.  Beef Packing Industry Structure by Size, 2000 and 2025.</w:t>
      </w:r>
    </w:p>
    <w:tbl>
      <w:tblPr>
        <w:tblW w:w="981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79"/>
        <w:gridCol w:w="888"/>
        <w:gridCol w:w="1123"/>
        <w:gridCol w:w="1256"/>
        <w:gridCol w:w="717"/>
        <w:gridCol w:w="888"/>
        <w:gridCol w:w="1123"/>
        <w:gridCol w:w="1259"/>
        <w:gridCol w:w="777"/>
      </w:tblGrid>
      <w:tr w:rsidR="00117CBB" w:rsidRPr="00117CBB" w14:paraId="4C1329C9" w14:textId="77777777" w:rsidTr="00117CBB">
        <w:trPr>
          <w:gridAfter w:val="1"/>
          <w:wAfter w:w="810" w:type="dxa"/>
          <w:jc w:val="center"/>
        </w:trPr>
        <w:tc>
          <w:tcPr>
            <w:tcW w:w="3870" w:type="dxa"/>
            <w:gridSpan w:val="4"/>
            <w:tcBorders>
              <w:top w:val="single" w:sz="8" w:space="0" w:color="FFFFFF"/>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657D86A1" w14:textId="45C97510" w:rsidR="00117CBB" w:rsidRPr="00117CBB" w:rsidRDefault="00117CBB" w:rsidP="00117CBB">
            <w:r w:rsidRPr="00117CBB">
              <w:br/>
              <w:t>2000</w:t>
            </w:r>
          </w:p>
        </w:tc>
        <w:tc>
          <w:tcPr>
            <w:tcW w:w="3960" w:type="dxa"/>
            <w:gridSpan w:val="4"/>
            <w:tcBorders>
              <w:top w:val="single" w:sz="8" w:space="0" w:color="FFFFFF"/>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18E03854" w14:textId="77777777" w:rsidR="00117CBB" w:rsidRDefault="00117CBB" w:rsidP="00117CBB"/>
          <w:p w14:paraId="1BA2B554" w14:textId="67B7FFE1" w:rsidR="00117CBB" w:rsidRPr="00117CBB" w:rsidRDefault="00117CBB" w:rsidP="00117CBB">
            <w:r w:rsidRPr="00117CBB">
              <w:t>2025</w:t>
            </w:r>
          </w:p>
        </w:tc>
      </w:tr>
      <w:tr w:rsidR="00117CBB" w:rsidRPr="00117CBB" w14:paraId="4386F2C2"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1636EECC" w14:textId="77777777" w:rsidR="00117CBB" w:rsidRPr="00117CBB" w:rsidRDefault="00117CBB" w:rsidP="00117CBB">
            <w:r w:rsidRPr="00117CBB">
              <w:t>Size</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5473B55D" w14:textId="77777777" w:rsidR="00117CBB" w:rsidRPr="00117CBB" w:rsidRDefault="00117CBB" w:rsidP="00117CBB">
            <w:r w:rsidRPr="00117CBB">
              <w:t># of Plants</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7601A5E5" w14:textId="2A464850" w:rsidR="00117CBB" w:rsidRPr="00117CBB" w:rsidRDefault="00117CBB" w:rsidP="00117CBB">
            <w:r w:rsidRPr="00117CBB">
              <w:t>Head</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38463EB9" w14:textId="77777777" w:rsidR="00117CBB" w:rsidRPr="00117CBB" w:rsidRDefault="00117CBB" w:rsidP="00117CBB">
            <w:r w:rsidRPr="00117CBB">
              <w:t>Avg Capacity</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79E114D9" w14:textId="77777777" w:rsidR="00117CBB" w:rsidRPr="00117CBB" w:rsidRDefault="00117CBB" w:rsidP="00117CBB">
            <w:r w:rsidRPr="00117CBB">
              <w:t>% of Total</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AE9BA46" w14:textId="77777777" w:rsidR="00117CBB" w:rsidRPr="00117CBB" w:rsidRDefault="00117CBB" w:rsidP="00117CBB">
            <w:r w:rsidRPr="00117CBB">
              <w:t># of Plants</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039BE993" w14:textId="77777777" w:rsidR="00117CBB" w:rsidRPr="00117CBB" w:rsidRDefault="00117CBB" w:rsidP="00117CBB">
            <w:r w:rsidRPr="00117CBB">
              <w:t>Head</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0F5C4D39" w14:textId="77777777" w:rsidR="00117CBB" w:rsidRPr="00117CBB" w:rsidRDefault="00117CBB" w:rsidP="00117CBB">
            <w:r w:rsidRPr="00117CBB">
              <w:t>Avg Capacity</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30B4C9C" w14:textId="77777777" w:rsidR="00117CBB" w:rsidRPr="00117CBB" w:rsidRDefault="00117CBB" w:rsidP="00117CBB">
            <w:r w:rsidRPr="00117CBB">
              <w:t>% of Total</w:t>
            </w:r>
          </w:p>
        </w:tc>
      </w:tr>
      <w:tr w:rsidR="00117CBB" w:rsidRPr="00117CBB" w14:paraId="49F5B2F5"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2B1BE082" w14:textId="77777777" w:rsidR="00117CBB" w:rsidRPr="00117CBB" w:rsidRDefault="00117CBB" w:rsidP="00117CBB">
            <w:r w:rsidRPr="00117CBB">
              <w:t>Head/Year</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6780A182" w14:textId="4B2E3E03" w:rsidR="00117CBB" w:rsidRPr="00117CBB" w:rsidRDefault="00117CBB" w:rsidP="00117CBB"/>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CC0E09A" w14:textId="77777777" w:rsidR="00117CBB" w:rsidRPr="00117CBB" w:rsidRDefault="00117CBB" w:rsidP="00117CBB">
            <w:r w:rsidRPr="00117CBB">
              <w:t>1000 HD</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1E754EC3" w14:textId="43D3690B" w:rsidR="00117CBB" w:rsidRPr="00117CBB" w:rsidRDefault="00117CBB" w:rsidP="00117CBB">
            <w:r w:rsidRPr="00117CBB">
              <w:t>Head/Day</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155B4803" w14:textId="480DDACC" w:rsidR="00117CBB" w:rsidRPr="00117CBB" w:rsidRDefault="00117CBB" w:rsidP="00117CBB"/>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9E66544" w14:textId="568F988D" w:rsidR="00117CBB" w:rsidRPr="00117CBB" w:rsidRDefault="00117CBB" w:rsidP="00117CBB"/>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6C7DB29" w14:textId="77777777" w:rsidR="00117CBB" w:rsidRPr="00117CBB" w:rsidRDefault="00117CBB" w:rsidP="00117CBB">
            <w:r w:rsidRPr="00117CBB">
              <w:t>1000 HD</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7C2F9E97" w14:textId="77777777" w:rsidR="00117CBB" w:rsidRPr="00117CBB" w:rsidRDefault="00117CBB" w:rsidP="00117CBB">
            <w:r w:rsidRPr="00117CBB">
              <w:t>Head/Day</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9E3F9DF" w14:textId="5DDC4E42" w:rsidR="00117CBB" w:rsidRPr="00117CBB" w:rsidRDefault="00117CBB" w:rsidP="00117CBB"/>
        </w:tc>
      </w:tr>
      <w:tr w:rsidR="00117CBB" w:rsidRPr="00117CBB" w14:paraId="55E2239C"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71DF3DC3" w14:textId="77777777" w:rsidR="00117CBB" w:rsidRPr="00117CBB" w:rsidRDefault="00117CBB" w:rsidP="00117CBB">
            <w:r w:rsidRPr="00117CBB">
              <w:t>1-999</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1C515D19" w14:textId="77777777" w:rsidR="00117CBB" w:rsidRPr="00117CBB" w:rsidRDefault="00117CBB" w:rsidP="00117CBB">
            <w:r w:rsidRPr="00117CBB">
              <w:t>546</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786D5A46" w14:textId="77777777" w:rsidR="00117CBB" w:rsidRPr="00117CBB" w:rsidRDefault="00117CBB" w:rsidP="00117CBB">
            <w:r w:rsidRPr="00117CBB">
              <w:t>160.2</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162D399A" w14:textId="77777777" w:rsidR="00117CBB" w:rsidRPr="00117CBB" w:rsidRDefault="00117CBB" w:rsidP="00117CBB">
            <w:r w:rsidRPr="00117CBB">
              <w:t>1.15</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60077A52" w14:textId="77777777" w:rsidR="00117CBB" w:rsidRPr="00117CBB" w:rsidRDefault="00117CBB" w:rsidP="00117CBB">
            <w:r w:rsidRPr="00117CBB">
              <w:t>0.4</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19EC9088" w14:textId="77777777" w:rsidR="00117CBB" w:rsidRPr="00117CBB" w:rsidRDefault="00117CBB" w:rsidP="00117CBB">
            <w:r w:rsidRPr="00117CBB">
              <w:t>677</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237164BC" w14:textId="77777777" w:rsidR="00117CBB" w:rsidRPr="00117CBB" w:rsidRDefault="00117CBB" w:rsidP="00117CBB">
            <w:r w:rsidRPr="00117CBB">
              <w:t>223.7</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50324408" w14:textId="77777777" w:rsidR="00117CBB" w:rsidRPr="00117CBB" w:rsidRDefault="00117CBB" w:rsidP="00117CBB">
            <w:r w:rsidRPr="00117CBB">
              <w:t>1.30</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3368C88A" w14:textId="77777777" w:rsidR="00117CBB" w:rsidRPr="00117CBB" w:rsidRDefault="00117CBB" w:rsidP="00117CBB">
            <w:r w:rsidRPr="00117CBB">
              <w:t>0.8</w:t>
            </w:r>
          </w:p>
        </w:tc>
      </w:tr>
      <w:tr w:rsidR="00117CBB" w:rsidRPr="00117CBB" w14:paraId="00B1F4F5"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5F7CEA77" w14:textId="77777777" w:rsidR="00117CBB" w:rsidRPr="00117CBB" w:rsidRDefault="00117CBB" w:rsidP="00117CBB">
            <w:r w:rsidRPr="00117CBB">
              <w:t>1,000 – 9,999</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563BCC6B" w14:textId="77777777" w:rsidR="00117CBB" w:rsidRPr="00117CBB" w:rsidRDefault="00117CBB" w:rsidP="00117CBB">
            <w:r w:rsidRPr="00117CBB">
              <w:t>99</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F1E0202" w14:textId="77777777" w:rsidR="00117CBB" w:rsidRPr="00117CBB" w:rsidRDefault="00117CBB" w:rsidP="00117CBB">
            <w:r w:rsidRPr="00117CBB">
              <w:t>329.4</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D3FD819" w14:textId="77777777" w:rsidR="00117CBB" w:rsidRPr="00117CBB" w:rsidRDefault="00117CBB" w:rsidP="00117CBB">
            <w:r w:rsidRPr="00117CBB">
              <w:t>13.1</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25521AF7" w14:textId="77777777" w:rsidR="00117CBB" w:rsidRPr="00117CBB" w:rsidRDefault="00117CBB" w:rsidP="00117CBB">
            <w:r w:rsidRPr="00117CBB">
              <w:t>0.9</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59E12E13" w14:textId="77777777" w:rsidR="00117CBB" w:rsidRPr="00117CBB" w:rsidRDefault="00117CBB" w:rsidP="00117CBB">
            <w:r w:rsidRPr="00117CBB">
              <w:t>174</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2EB17F85" w14:textId="77777777" w:rsidR="00117CBB" w:rsidRPr="00117CBB" w:rsidRDefault="00117CBB" w:rsidP="00117CBB">
            <w:r w:rsidRPr="00117CBB">
              <w:t>408.2</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A75EB61" w14:textId="77777777" w:rsidR="00117CBB" w:rsidRPr="00117CBB" w:rsidRDefault="00117CBB" w:rsidP="00117CBB">
            <w:r w:rsidRPr="00117CBB">
              <w:t>9.2</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8D3CED1" w14:textId="77777777" w:rsidR="00117CBB" w:rsidRPr="00117CBB" w:rsidRDefault="00117CBB" w:rsidP="00117CBB">
            <w:r w:rsidRPr="00117CBB">
              <w:t>1.4</w:t>
            </w:r>
          </w:p>
        </w:tc>
      </w:tr>
      <w:tr w:rsidR="00117CBB" w:rsidRPr="00117CBB" w14:paraId="72C7D548"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460F03FD" w14:textId="77777777" w:rsidR="00117CBB" w:rsidRPr="00117CBB" w:rsidRDefault="00117CBB" w:rsidP="00117CBB">
            <w:r w:rsidRPr="00117CBB">
              <w:t>10,000 – 49,999</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918E876" w14:textId="77777777" w:rsidR="00117CBB" w:rsidRPr="00117CBB" w:rsidRDefault="00117CBB" w:rsidP="00117CBB">
            <w:r w:rsidRPr="00117CBB">
              <w:t>27</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5B9ADD38" w14:textId="77777777" w:rsidR="00117CBB" w:rsidRPr="00117CBB" w:rsidRDefault="00117CBB" w:rsidP="00117CBB">
            <w:r w:rsidRPr="00117CBB">
              <w:t>644.3</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5F258BD4" w14:textId="77777777" w:rsidR="00117CBB" w:rsidRPr="00117CBB" w:rsidRDefault="00117CBB" w:rsidP="00117CBB">
            <w:r w:rsidRPr="00117CBB">
              <w:t>93.6</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3E721FBA" w14:textId="77777777" w:rsidR="00117CBB" w:rsidRPr="00117CBB" w:rsidRDefault="00117CBB" w:rsidP="00117CBB">
            <w:r w:rsidRPr="00117CBB">
              <w:t>1.8</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3B3808FF" w14:textId="77777777" w:rsidR="00117CBB" w:rsidRPr="00117CBB" w:rsidRDefault="00117CBB" w:rsidP="00117CBB">
            <w:r w:rsidRPr="00117CBB">
              <w:t>25</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FBE0416" w14:textId="77777777" w:rsidR="00117CBB" w:rsidRPr="00117CBB" w:rsidRDefault="00117CBB" w:rsidP="00117CBB">
            <w:r w:rsidRPr="00117CBB">
              <w:t>586.4</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7AFBDF2" w14:textId="77777777" w:rsidR="00117CBB" w:rsidRPr="00117CBB" w:rsidRDefault="00117CBB" w:rsidP="00117CBB">
            <w:r w:rsidRPr="00117CBB">
              <w:t>92.0</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5C16D3CA" w14:textId="77777777" w:rsidR="00117CBB" w:rsidRPr="00117CBB" w:rsidRDefault="00117CBB" w:rsidP="00117CBB">
            <w:r w:rsidRPr="00117CBB">
              <w:t>2.0</w:t>
            </w:r>
          </w:p>
        </w:tc>
      </w:tr>
      <w:tr w:rsidR="00117CBB" w:rsidRPr="00117CBB" w14:paraId="2D51282C"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774E1062" w14:textId="77777777" w:rsidR="00117CBB" w:rsidRPr="00117CBB" w:rsidRDefault="00117CBB" w:rsidP="00117CBB">
            <w:r w:rsidRPr="00117CBB">
              <w:t>50,000 – 99,999</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08D768BB" w14:textId="77777777" w:rsidR="00117CBB" w:rsidRPr="00117CBB" w:rsidRDefault="00117CBB" w:rsidP="00117CBB">
            <w:r w:rsidRPr="00117CBB">
              <w:t>11</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AD97B6A" w14:textId="77777777" w:rsidR="00117CBB" w:rsidRPr="00117CBB" w:rsidRDefault="00117CBB" w:rsidP="00117CBB">
            <w:r w:rsidRPr="00117CBB">
              <w:t>786.2</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1460752A" w14:textId="77777777" w:rsidR="00117CBB" w:rsidRPr="00117CBB" w:rsidRDefault="00117CBB" w:rsidP="00117CBB">
            <w:r w:rsidRPr="00117CBB">
              <w:t>280.3</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537B9610" w14:textId="77777777" w:rsidR="00117CBB" w:rsidRPr="00117CBB" w:rsidRDefault="00117CBB" w:rsidP="00117CBB">
            <w:r w:rsidRPr="00117CBB">
              <w:t>2.2</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738BA6E" w14:textId="77777777" w:rsidR="00117CBB" w:rsidRPr="00117CBB" w:rsidRDefault="00117CBB" w:rsidP="00117CBB">
            <w:r w:rsidRPr="00117CBB">
              <w:t>12</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654E6E6" w14:textId="77777777" w:rsidR="00117CBB" w:rsidRPr="00117CBB" w:rsidRDefault="00117CBB" w:rsidP="00117CBB">
            <w:r w:rsidRPr="00117CBB">
              <w:t>869.3</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22AF6B2" w14:textId="77777777" w:rsidR="00117CBB" w:rsidRPr="00117CBB" w:rsidRDefault="00117CBB" w:rsidP="00117CBB">
            <w:r w:rsidRPr="00117CBB">
              <w:t>284.1</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2546EF25" w14:textId="77777777" w:rsidR="00117CBB" w:rsidRPr="00117CBB" w:rsidRDefault="00117CBB" w:rsidP="00117CBB">
            <w:r w:rsidRPr="00117CBB">
              <w:t>3.0</w:t>
            </w:r>
          </w:p>
        </w:tc>
      </w:tr>
      <w:tr w:rsidR="00117CBB" w:rsidRPr="00117CBB" w14:paraId="01FFF80D"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1D7EEFA3" w14:textId="77777777" w:rsidR="00117CBB" w:rsidRPr="00117CBB" w:rsidRDefault="00117CBB" w:rsidP="00117CBB">
            <w:r w:rsidRPr="00117CBB">
              <w:t>100,000 – 199,999</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29BBF6EA" w14:textId="77777777" w:rsidR="00117CBB" w:rsidRPr="00117CBB" w:rsidRDefault="00117CBB" w:rsidP="00117CBB">
            <w:r w:rsidRPr="00117CBB">
              <w:t>15</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2AFC396A" w14:textId="77777777" w:rsidR="00117CBB" w:rsidRPr="00117CBB" w:rsidRDefault="00117CBB" w:rsidP="00117CBB">
            <w:r w:rsidRPr="00117CBB">
              <w:t>2,277.3</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29335926" w14:textId="77777777" w:rsidR="00117CBB" w:rsidRPr="00117CBB" w:rsidRDefault="00117CBB" w:rsidP="00117CBB">
            <w:r w:rsidRPr="00117CBB">
              <w:t>595.4</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31EFBEC7" w14:textId="77777777" w:rsidR="00117CBB" w:rsidRPr="00117CBB" w:rsidRDefault="00117CBB" w:rsidP="00117CBB">
            <w:r w:rsidRPr="00117CBB">
              <w:t>6.4</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5576A611" w14:textId="77777777" w:rsidR="00117CBB" w:rsidRPr="00117CBB" w:rsidRDefault="00117CBB" w:rsidP="00117CBB">
            <w:r w:rsidRPr="00117CBB">
              <w:t>11</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3CDC8D8" w14:textId="77777777" w:rsidR="00117CBB" w:rsidRPr="00117CBB" w:rsidRDefault="00117CBB" w:rsidP="00117CBB">
            <w:r w:rsidRPr="00117CBB">
              <w:t>1,630.3</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89EEB2C" w14:textId="77777777" w:rsidR="00117CBB" w:rsidRPr="00117CBB" w:rsidRDefault="00117CBB" w:rsidP="00117CBB">
            <w:r w:rsidRPr="00117CBB">
              <w:t>581.2</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13B0D59F" w14:textId="77777777" w:rsidR="00117CBB" w:rsidRPr="00117CBB" w:rsidRDefault="00117CBB" w:rsidP="00117CBB">
            <w:r w:rsidRPr="00117CBB">
              <w:t>5.6</w:t>
            </w:r>
          </w:p>
        </w:tc>
      </w:tr>
      <w:tr w:rsidR="00117CBB" w:rsidRPr="00117CBB" w14:paraId="46EF0253"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53DBC28B" w14:textId="77777777" w:rsidR="00117CBB" w:rsidRPr="00117CBB" w:rsidRDefault="00117CBB" w:rsidP="00117CBB">
            <w:r w:rsidRPr="00117CBB">
              <w:t>200,000 – 299,999</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30C334B4" w14:textId="77777777" w:rsidR="00117CBB" w:rsidRPr="00117CBB" w:rsidRDefault="00117CBB" w:rsidP="00117CBB">
            <w:r w:rsidRPr="00117CBB">
              <w:t>6</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BC99E94" w14:textId="77777777" w:rsidR="00117CBB" w:rsidRPr="00117CBB" w:rsidRDefault="00117CBB" w:rsidP="00117CBB">
            <w:r w:rsidRPr="00117CBB">
              <w:t>1,483.3</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10D56EA8" w14:textId="77777777" w:rsidR="00117CBB" w:rsidRPr="00117CBB" w:rsidRDefault="00117CBB" w:rsidP="00117CBB">
            <w:r w:rsidRPr="00117CBB">
              <w:t>969.5</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6702E32B" w14:textId="77777777" w:rsidR="00117CBB" w:rsidRPr="00117CBB" w:rsidRDefault="00117CBB" w:rsidP="00117CBB">
            <w:r w:rsidRPr="00117CBB">
              <w:t>4.2</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74D1D50A" w14:textId="77777777" w:rsidR="00117CBB" w:rsidRPr="00117CBB" w:rsidRDefault="00117CBB" w:rsidP="00117CBB">
            <w:r w:rsidRPr="00117CBB">
              <w:t>7</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30E6DA78" w14:textId="77777777" w:rsidR="00117CBB" w:rsidRPr="00117CBB" w:rsidRDefault="00117CBB" w:rsidP="00117CBB">
            <w:r w:rsidRPr="00117CBB">
              <w:t>1,773.7</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2357EE8F" w14:textId="77777777" w:rsidR="00117CBB" w:rsidRPr="00117CBB" w:rsidRDefault="00117CBB" w:rsidP="00117CBB">
            <w:r w:rsidRPr="00117CBB">
              <w:t>993.7</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7F67A9EE" w14:textId="77777777" w:rsidR="00117CBB" w:rsidRPr="00117CBB" w:rsidRDefault="00117CBB" w:rsidP="00117CBB">
            <w:r w:rsidRPr="00117CBB">
              <w:t>6.1</w:t>
            </w:r>
          </w:p>
        </w:tc>
      </w:tr>
      <w:tr w:rsidR="00117CBB" w:rsidRPr="00117CBB" w14:paraId="0BC7B668"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5A391586" w14:textId="77777777" w:rsidR="00117CBB" w:rsidRPr="00117CBB" w:rsidRDefault="00117CBB" w:rsidP="00117CBB">
            <w:r w:rsidRPr="00117CBB">
              <w:t>300,000 – 499,999</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5AFB9AAF" w14:textId="77777777" w:rsidR="00117CBB" w:rsidRPr="00117CBB" w:rsidRDefault="00117CBB" w:rsidP="00117CBB">
            <w:r w:rsidRPr="00117CBB">
              <w:t>9</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0169FFB9" w14:textId="77777777" w:rsidR="00117CBB" w:rsidRPr="00117CBB" w:rsidRDefault="00117CBB" w:rsidP="00117CBB">
            <w:r w:rsidRPr="00117CBB">
              <w:t>3,590.0</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5A840F02" w14:textId="77777777" w:rsidR="00117CBB" w:rsidRPr="00117CBB" w:rsidRDefault="00117CBB" w:rsidP="00117CBB">
            <w:r w:rsidRPr="00117CBB">
              <w:t>1,564.3</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17409F6A" w14:textId="77777777" w:rsidR="00117CBB" w:rsidRPr="00117CBB" w:rsidRDefault="00117CBB" w:rsidP="00117CBB">
            <w:r w:rsidRPr="00117CBB">
              <w:t>10.1</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253062BA" w14:textId="77777777" w:rsidR="00117CBB" w:rsidRPr="00117CBB" w:rsidRDefault="00117CBB" w:rsidP="00117CBB">
            <w:r w:rsidRPr="00117CBB">
              <w:t>13</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C483C68" w14:textId="77777777" w:rsidR="00117CBB" w:rsidRPr="00117CBB" w:rsidRDefault="00117CBB" w:rsidP="00117CBB">
            <w:r w:rsidRPr="00117CBB">
              <w:t>5,119.0</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0A423C86" w14:textId="77777777" w:rsidR="00117CBB" w:rsidRPr="00117CBB" w:rsidRDefault="00117CBB" w:rsidP="00117CBB">
            <w:r w:rsidRPr="00117CBB">
              <w:t>1,544.2</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2A1892E2" w14:textId="77777777" w:rsidR="00117CBB" w:rsidRPr="00117CBB" w:rsidRDefault="00117CBB" w:rsidP="00117CBB">
            <w:r w:rsidRPr="00117CBB">
              <w:t>17.5</w:t>
            </w:r>
          </w:p>
        </w:tc>
      </w:tr>
      <w:tr w:rsidR="00117CBB" w:rsidRPr="00117CBB" w14:paraId="2B2A5EF1"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07AD6024" w14:textId="77777777" w:rsidR="00117CBB" w:rsidRPr="00117CBB" w:rsidRDefault="00117CBB" w:rsidP="00117CBB">
            <w:r w:rsidRPr="00117CBB">
              <w:t>500,000 – 999,999</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214E0CF0" w14:textId="77777777" w:rsidR="00117CBB" w:rsidRPr="00117CBB" w:rsidRDefault="00117CBB" w:rsidP="00117CBB">
            <w:r w:rsidRPr="00117CBB">
              <w:t>9</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A530E15" w14:textId="77777777" w:rsidR="00117CBB" w:rsidRPr="00117CBB" w:rsidRDefault="00117CBB" w:rsidP="00117CBB">
            <w:r w:rsidRPr="00117CBB">
              <w:t>5,297.5</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6F500CA0" w14:textId="77777777" w:rsidR="00117CBB" w:rsidRPr="00117CBB" w:rsidRDefault="00117CBB" w:rsidP="00117CBB">
            <w:r w:rsidRPr="00117CBB">
              <w:t>2,308.3</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6D013D86" w14:textId="77777777" w:rsidR="00117CBB" w:rsidRPr="00117CBB" w:rsidRDefault="00117CBB" w:rsidP="00117CBB">
            <w:r w:rsidRPr="00117CBB">
              <w:t>14.9</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3A230FE" w14:textId="77777777" w:rsidR="00117CBB" w:rsidRPr="00117CBB" w:rsidRDefault="00117CBB" w:rsidP="00117CBB">
            <w:r w:rsidRPr="00117CBB">
              <w:t>7</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03E6F17" w14:textId="77777777" w:rsidR="00117CBB" w:rsidRPr="00117CBB" w:rsidRDefault="00117CBB" w:rsidP="00117CBB">
            <w:r w:rsidRPr="00117CBB">
              <w:t>4,806.6</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5638B7FF" w14:textId="77777777" w:rsidR="00117CBB" w:rsidRPr="00117CBB" w:rsidRDefault="00117CBB" w:rsidP="00117CBB">
            <w:r w:rsidRPr="00117CBB">
              <w:t>2,692.8</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58F78807" w14:textId="77777777" w:rsidR="00117CBB" w:rsidRPr="00117CBB" w:rsidRDefault="00117CBB" w:rsidP="00117CBB">
            <w:r w:rsidRPr="00117CBB">
              <w:t>16.4</w:t>
            </w:r>
          </w:p>
        </w:tc>
      </w:tr>
      <w:tr w:rsidR="00117CBB" w:rsidRPr="00117CBB" w14:paraId="28E84D77"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13891AB2" w14:textId="77777777" w:rsidR="00117CBB" w:rsidRPr="00117CBB" w:rsidRDefault="00117CBB" w:rsidP="00117CBB">
            <w:r w:rsidRPr="00117CBB">
              <w:t>&gt;1,000,000</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0DD1DBA9" w14:textId="77777777" w:rsidR="00117CBB" w:rsidRPr="00117CBB" w:rsidRDefault="00117CBB" w:rsidP="00117CBB">
            <w:r w:rsidRPr="00117CBB">
              <w:t>16</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6E49053" w14:textId="77777777" w:rsidR="00117CBB" w:rsidRPr="00117CBB" w:rsidRDefault="00117CBB" w:rsidP="00117CBB">
            <w:r w:rsidRPr="00117CBB">
              <w:t>21,063.2</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4981A741" w14:textId="77777777" w:rsidR="00117CBB" w:rsidRPr="00117CBB" w:rsidRDefault="00117CBB" w:rsidP="00117CBB">
            <w:r w:rsidRPr="00117CBB">
              <w:t>5,162.5</w:t>
            </w:r>
          </w:p>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0DFA400F" w14:textId="77777777" w:rsidR="00117CBB" w:rsidRPr="00117CBB" w:rsidRDefault="00117CBB" w:rsidP="00117CBB">
            <w:r w:rsidRPr="00117CBB">
              <w:t>59.1</w:t>
            </w:r>
          </w:p>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547831F3" w14:textId="77777777" w:rsidR="00117CBB" w:rsidRPr="00117CBB" w:rsidRDefault="00117CBB" w:rsidP="00117CBB">
            <w:r w:rsidRPr="00117CBB">
              <w:t>11</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22212174" w14:textId="77777777" w:rsidR="00117CBB" w:rsidRPr="00117CBB" w:rsidRDefault="00117CBB" w:rsidP="00117CBB">
            <w:r w:rsidRPr="00117CBB">
              <w:t>13,834.7</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6C0D2160" w14:textId="77777777" w:rsidR="00117CBB" w:rsidRPr="00117CBB" w:rsidRDefault="00117CBB" w:rsidP="00117CBB">
            <w:r w:rsidRPr="00117CBB">
              <w:t>4,932.2</w:t>
            </w:r>
          </w:p>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EC64F98" w14:textId="77777777" w:rsidR="00117CBB" w:rsidRPr="00117CBB" w:rsidRDefault="00117CBB" w:rsidP="00117CBB">
            <w:r w:rsidRPr="00117CBB">
              <w:t>47.3</w:t>
            </w:r>
          </w:p>
        </w:tc>
      </w:tr>
      <w:tr w:rsidR="00117CBB" w:rsidRPr="00117CBB" w14:paraId="1F091660" w14:textId="77777777" w:rsidTr="00117CBB">
        <w:trPr>
          <w:jc w:val="center"/>
        </w:trPr>
        <w:tc>
          <w:tcPr>
            <w:tcW w:w="1975" w:type="dxa"/>
            <w:tcBorders>
              <w:top w:val="outset" w:sz="6" w:space="0" w:color="A8A8A8"/>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14:paraId="72F0A080" w14:textId="77777777" w:rsidR="00117CBB" w:rsidRPr="00117CBB" w:rsidRDefault="00117CBB" w:rsidP="00117CBB">
            <w:r w:rsidRPr="00117CBB">
              <w:t>Total</w:t>
            </w:r>
          </w:p>
        </w:tc>
        <w:tc>
          <w:tcPr>
            <w:tcW w:w="90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144A3947" w14:textId="77777777" w:rsidR="00117CBB" w:rsidRPr="00117CBB" w:rsidRDefault="00117CBB" w:rsidP="00117CBB">
            <w:r w:rsidRPr="00117CBB">
              <w:t>738</w:t>
            </w:r>
          </w:p>
        </w:tc>
        <w:tc>
          <w:tcPr>
            <w:tcW w:w="108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7E84061F" w14:textId="77777777" w:rsidR="00117CBB" w:rsidRPr="00117CBB" w:rsidRDefault="00117CBB" w:rsidP="00117CBB">
            <w:r w:rsidRPr="00117CBB">
              <w:t>35,631.4</w:t>
            </w:r>
          </w:p>
        </w:tc>
        <w:tc>
          <w:tcPr>
            <w:tcW w:w="117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29EBCF58" w14:textId="67B32F89" w:rsidR="00117CBB" w:rsidRPr="00117CBB" w:rsidRDefault="00117CBB" w:rsidP="00117CBB"/>
        </w:tc>
        <w:tc>
          <w:tcPr>
            <w:tcW w:w="720" w:type="dxa"/>
            <w:tcBorders>
              <w:top w:val="outset" w:sz="6" w:space="0" w:color="A8A8A8"/>
              <w:left w:val="outset" w:sz="6" w:space="0" w:color="A8A8A8"/>
              <w:bottom w:val="single" w:sz="8" w:space="0" w:color="FFFFFF"/>
              <w:right w:val="single" w:sz="8" w:space="0" w:color="FFFFFF"/>
            </w:tcBorders>
            <w:shd w:val="clear" w:color="auto" w:fill="FBE4D5"/>
            <w:tcMar>
              <w:top w:w="0" w:type="dxa"/>
              <w:left w:w="108" w:type="dxa"/>
              <w:bottom w:w="0" w:type="dxa"/>
              <w:right w:w="108" w:type="dxa"/>
            </w:tcMar>
            <w:hideMark/>
          </w:tcPr>
          <w:p w14:paraId="567E3504" w14:textId="60339ABF" w:rsidR="00117CBB" w:rsidRPr="00117CBB" w:rsidRDefault="00117CBB" w:rsidP="00117CBB"/>
        </w:tc>
        <w:tc>
          <w:tcPr>
            <w:tcW w:w="90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42C4B052" w14:textId="77777777" w:rsidR="00117CBB" w:rsidRPr="00117CBB" w:rsidRDefault="00117CBB" w:rsidP="00117CBB">
            <w:r w:rsidRPr="00117CBB">
              <w:t>937</w:t>
            </w:r>
          </w:p>
        </w:tc>
        <w:tc>
          <w:tcPr>
            <w:tcW w:w="108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0EAD19C7" w14:textId="77777777" w:rsidR="00117CBB" w:rsidRPr="00117CBB" w:rsidRDefault="00117CBB" w:rsidP="00117CBB">
            <w:r w:rsidRPr="00117CBB">
              <w:t>29,252.0</w:t>
            </w:r>
          </w:p>
        </w:tc>
        <w:tc>
          <w:tcPr>
            <w:tcW w:w="117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21C28E8F" w14:textId="36C47485" w:rsidR="00117CBB" w:rsidRPr="00117CBB" w:rsidRDefault="00117CBB" w:rsidP="00117CBB"/>
        </w:tc>
        <w:tc>
          <w:tcPr>
            <w:tcW w:w="810" w:type="dxa"/>
            <w:tcBorders>
              <w:top w:val="outset" w:sz="6" w:space="0" w:color="A8A8A8"/>
              <w:left w:val="outset" w:sz="6" w:space="0" w:color="A8A8A8"/>
              <w:bottom w:val="single" w:sz="8" w:space="0" w:color="FFFFFF"/>
              <w:right w:val="single" w:sz="8" w:space="0" w:color="FFFFFF"/>
            </w:tcBorders>
            <w:shd w:val="clear" w:color="auto" w:fill="FFF2CC"/>
            <w:tcMar>
              <w:top w:w="0" w:type="dxa"/>
              <w:left w:w="108" w:type="dxa"/>
              <w:bottom w:w="0" w:type="dxa"/>
              <w:right w:w="108" w:type="dxa"/>
            </w:tcMar>
            <w:hideMark/>
          </w:tcPr>
          <w:p w14:paraId="3FE3BE52" w14:textId="29B6D1B5" w:rsidR="00117CBB" w:rsidRPr="00117CBB" w:rsidRDefault="00117CBB" w:rsidP="00117CBB"/>
        </w:tc>
      </w:tr>
    </w:tbl>
    <w:p w14:paraId="3E3C5FB3" w14:textId="77777777" w:rsidR="00117CBB" w:rsidRDefault="00117CBB" w:rsidP="00117CBB">
      <w:r w:rsidRPr="00117CBB">
        <w:t>Source:  Livestock Slaughter Summary, USDA-NASS, 2001 and 2026</w:t>
      </w:r>
    </w:p>
    <w:p w14:paraId="146CF394" w14:textId="77777777" w:rsidR="00117CBB" w:rsidRDefault="00117CBB" w:rsidP="00117CBB"/>
    <w:p w14:paraId="6BFC8E77" w14:textId="77777777" w:rsidR="00117CBB" w:rsidRDefault="00117CBB" w:rsidP="00117CBB"/>
    <w:p w14:paraId="38BA16F4" w14:textId="77777777" w:rsidR="00117CBB" w:rsidRDefault="00117CBB" w:rsidP="00117CBB"/>
    <w:p w14:paraId="24AA1094" w14:textId="77777777" w:rsidR="00117CBB" w:rsidRDefault="00117CBB" w:rsidP="00117CBB"/>
    <w:p w14:paraId="2A75C2AB" w14:textId="560F512D" w:rsidR="00117CBB" w:rsidRPr="00117CBB" w:rsidRDefault="00117CBB" w:rsidP="00117CBB">
      <w:r w:rsidRPr="00117CBB">
        <w:lastRenderedPageBreak/>
        <w:t xml:space="preserve">The general structure of the beef packing industry has been in place for nearly 35 years.  Figure 1 shows the four-firm concentration ratio for beef packing as calculated by the Packers and Stockyards Division of USDA.  Beef packing in the U.S. consolidated rapidly in the 1980s and early 1990s.  By 1993, the industry achieved a high level of concentration that has remained mostly constant since.  The annual Livestock Slaughter summary first reported plants with a capacity of one million head or more in 1991.  The number of large plants has varied between sixteen plants in 2000 to the current eleven plants in 2025.  The closure of the Lexington, Nebraska plant this year will </w:t>
      </w:r>
      <w:proofErr w:type="gramStart"/>
      <w:r w:rsidRPr="00117CBB">
        <w:t>drop the number of</w:t>
      </w:r>
      <w:proofErr w:type="gramEnd"/>
      <w:r w:rsidRPr="00117CBB">
        <w:t xml:space="preserve"> one million+ head plants to ten.</w:t>
      </w:r>
    </w:p>
    <w:p w14:paraId="33103332" w14:textId="0D8D7CE1" w:rsidR="00117CBB" w:rsidRPr="00117CBB" w:rsidRDefault="00117CBB" w:rsidP="00117CBB">
      <w:r w:rsidRPr="00117CBB">
        <w:t xml:space="preserve">Table 1 shows that the basic size structure in 2025 is not appreciably different than in 2000, the only year with 16 large plants. Fed slaughter was at a record level of 29.6 million head in 2000 and </w:t>
      </w:r>
      <w:proofErr w:type="gramStart"/>
      <w:r w:rsidRPr="00117CBB">
        <w:t>has dropped</w:t>
      </w:r>
      <w:proofErr w:type="gramEnd"/>
      <w:r w:rsidRPr="00117CBB">
        <w:t xml:space="preserve"> to 23.8 million head in 2025, a decrease of 19.5 percent. However, Figure 2 shows that large plants have been accounting for a declining percentage of fed slaughter since 2019, with the current percentage the smallest since 1994.</w:t>
      </w:r>
    </w:p>
    <w:p w14:paraId="7E8B30EE" w14:textId="72CF2CB8" w:rsidR="00117CBB" w:rsidRDefault="00117CBB" w:rsidP="00117CBB">
      <w:pPr>
        <w:jc w:val="center"/>
      </w:pPr>
      <w:r>
        <w:rPr>
          <w:noProof/>
        </w:rPr>
        <w:drawing>
          <wp:inline distT="0" distB="0" distL="0" distR="0" wp14:anchorId="10F37473" wp14:editId="11683AD1">
            <wp:extent cx="6380359" cy="3552825"/>
            <wp:effectExtent l="0" t="0" r="1905" b="0"/>
            <wp:docPr id="942701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01622" name="Picture 94270162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6256" cy="3561677"/>
                    </a:xfrm>
                    <a:prstGeom prst="rect">
                      <a:avLst/>
                    </a:prstGeom>
                  </pic:spPr>
                </pic:pic>
              </a:graphicData>
            </a:graphic>
          </wp:inline>
        </w:drawing>
      </w:r>
    </w:p>
    <w:p w14:paraId="2A891C8D" w14:textId="77777777" w:rsidR="00117CBB" w:rsidRPr="00117CBB" w:rsidRDefault="00117CBB" w:rsidP="00117CBB">
      <w:r w:rsidRPr="00117CBB">
        <w:t>Source: Packers and Stockyards Division, USDA</w:t>
      </w:r>
    </w:p>
    <w:p w14:paraId="1604FA61" w14:textId="1F6434C8" w:rsidR="00117CBB" w:rsidRDefault="00117CBB" w:rsidP="00117CBB">
      <w:pPr>
        <w:jc w:val="center"/>
      </w:pPr>
      <w:r>
        <w:rPr>
          <w:noProof/>
        </w:rPr>
        <w:lastRenderedPageBreak/>
        <w:drawing>
          <wp:inline distT="0" distB="0" distL="0" distR="0" wp14:anchorId="62498E42" wp14:editId="6A5FA2B9">
            <wp:extent cx="6654608" cy="3571875"/>
            <wp:effectExtent l="0" t="0" r="0" b="0"/>
            <wp:docPr id="1877510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10586" name="Picture 18775105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8444" cy="3573934"/>
                    </a:xfrm>
                    <a:prstGeom prst="rect">
                      <a:avLst/>
                    </a:prstGeom>
                  </pic:spPr>
                </pic:pic>
              </a:graphicData>
            </a:graphic>
          </wp:inline>
        </w:drawing>
      </w:r>
    </w:p>
    <w:p w14:paraId="4434A0A6" w14:textId="07FC80CF" w:rsidR="00117CBB" w:rsidRPr="00117CBB" w:rsidRDefault="00117CBB" w:rsidP="00117CBB">
      <w:r w:rsidRPr="00117CBB">
        <w:t xml:space="preserve">Between 1991 and 2007, the total number of federally inspected beef packing plants decreased from 1,031 plants to 626 plants.  Recent interest in small packing plants has resulted in the total number increasing </w:t>
      </w:r>
      <w:proofErr w:type="gramStart"/>
      <w:r w:rsidRPr="00117CBB">
        <w:t>since</w:t>
      </w:r>
      <w:proofErr w:type="gramEnd"/>
      <w:r w:rsidRPr="00117CBB">
        <w:t xml:space="preserve"> 2021 to 937 plants in 2025.  Plants with less than 100,000 head capacity accounted for 3.9 percent of cattle slaughter in 2007 and has increased to 7.1 percent in 2025.</w:t>
      </w:r>
    </w:p>
    <w:p w14:paraId="15F1BFB4" w14:textId="77777777" w:rsidR="00117CBB" w:rsidRDefault="00117CBB" w:rsidP="00117CBB"/>
    <w:sectPr w:rsidR="00117C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29D7" w14:textId="77777777" w:rsidR="00055931" w:rsidRDefault="00055931" w:rsidP="00117CBB">
      <w:pPr>
        <w:spacing w:after="0" w:line="240" w:lineRule="auto"/>
      </w:pPr>
      <w:r>
        <w:separator/>
      </w:r>
    </w:p>
  </w:endnote>
  <w:endnote w:type="continuationSeparator" w:id="0">
    <w:p w14:paraId="27D71342" w14:textId="77777777" w:rsidR="00055931" w:rsidRDefault="00055931" w:rsidP="0011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200755"/>
      <w:docPartObj>
        <w:docPartGallery w:val="Page Numbers (Bottom of Page)"/>
        <w:docPartUnique/>
      </w:docPartObj>
    </w:sdtPr>
    <w:sdtContent>
      <w:sdt>
        <w:sdtPr>
          <w:id w:val="-1769616900"/>
          <w:docPartObj>
            <w:docPartGallery w:val="Page Numbers (Top of Page)"/>
            <w:docPartUnique/>
          </w:docPartObj>
        </w:sdtPr>
        <w:sdtContent>
          <w:p w14:paraId="008A44FD" w14:textId="3AA1AAE2" w:rsidR="00117CBB" w:rsidRDefault="00117CB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CE2B3B8" w14:textId="77777777" w:rsidR="00117CBB" w:rsidRDefault="0011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25B6" w14:textId="77777777" w:rsidR="00055931" w:rsidRDefault="00055931" w:rsidP="00117CBB">
      <w:pPr>
        <w:spacing w:after="0" w:line="240" w:lineRule="auto"/>
      </w:pPr>
      <w:r>
        <w:separator/>
      </w:r>
    </w:p>
  </w:footnote>
  <w:footnote w:type="continuationSeparator" w:id="0">
    <w:p w14:paraId="4E7F2356" w14:textId="77777777" w:rsidR="00055931" w:rsidRDefault="00055931" w:rsidP="00117C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BB"/>
    <w:rsid w:val="00055931"/>
    <w:rsid w:val="00117CBB"/>
    <w:rsid w:val="00456D8B"/>
    <w:rsid w:val="004F4F44"/>
    <w:rsid w:val="00B3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1C3F"/>
  <w15:chartTrackingRefBased/>
  <w15:docId w15:val="{5998ADBD-BEE6-4A12-BFB4-5458EA04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CBB"/>
    <w:rPr>
      <w:rFonts w:eastAsiaTheme="majorEastAsia" w:cstheme="majorBidi"/>
      <w:color w:val="272727" w:themeColor="text1" w:themeTint="D8"/>
    </w:rPr>
  </w:style>
  <w:style w:type="paragraph" w:styleId="Title">
    <w:name w:val="Title"/>
    <w:basedOn w:val="Normal"/>
    <w:next w:val="Normal"/>
    <w:link w:val="TitleChar"/>
    <w:uiPriority w:val="10"/>
    <w:qFormat/>
    <w:rsid w:val="00117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CBB"/>
    <w:pPr>
      <w:spacing w:before="160"/>
      <w:jc w:val="center"/>
    </w:pPr>
    <w:rPr>
      <w:i/>
      <w:iCs/>
      <w:color w:val="404040" w:themeColor="text1" w:themeTint="BF"/>
    </w:rPr>
  </w:style>
  <w:style w:type="character" w:customStyle="1" w:styleId="QuoteChar">
    <w:name w:val="Quote Char"/>
    <w:basedOn w:val="DefaultParagraphFont"/>
    <w:link w:val="Quote"/>
    <w:uiPriority w:val="29"/>
    <w:rsid w:val="00117CBB"/>
    <w:rPr>
      <w:i/>
      <w:iCs/>
      <w:color w:val="404040" w:themeColor="text1" w:themeTint="BF"/>
    </w:rPr>
  </w:style>
  <w:style w:type="paragraph" w:styleId="ListParagraph">
    <w:name w:val="List Paragraph"/>
    <w:basedOn w:val="Normal"/>
    <w:uiPriority w:val="34"/>
    <w:qFormat/>
    <w:rsid w:val="00117CBB"/>
    <w:pPr>
      <w:ind w:left="720"/>
      <w:contextualSpacing/>
    </w:pPr>
  </w:style>
  <w:style w:type="character" w:styleId="IntenseEmphasis">
    <w:name w:val="Intense Emphasis"/>
    <w:basedOn w:val="DefaultParagraphFont"/>
    <w:uiPriority w:val="21"/>
    <w:qFormat/>
    <w:rsid w:val="00117CBB"/>
    <w:rPr>
      <w:i/>
      <w:iCs/>
      <w:color w:val="0F4761" w:themeColor="accent1" w:themeShade="BF"/>
    </w:rPr>
  </w:style>
  <w:style w:type="paragraph" w:styleId="IntenseQuote">
    <w:name w:val="Intense Quote"/>
    <w:basedOn w:val="Normal"/>
    <w:next w:val="Normal"/>
    <w:link w:val="IntenseQuoteChar"/>
    <w:uiPriority w:val="30"/>
    <w:qFormat/>
    <w:rsid w:val="00117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CBB"/>
    <w:rPr>
      <w:i/>
      <w:iCs/>
      <w:color w:val="0F4761" w:themeColor="accent1" w:themeShade="BF"/>
    </w:rPr>
  </w:style>
  <w:style w:type="character" w:styleId="IntenseReference">
    <w:name w:val="Intense Reference"/>
    <w:basedOn w:val="DefaultParagraphFont"/>
    <w:uiPriority w:val="32"/>
    <w:qFormat/>
    <w:rsid w:val="00117CBB"/>
    <w:rPr>
      <w:b/>
      <w:bCs/>
      <w:smallCaps/>
      <w:color w:val="0F4761" w:themeColor="accent1" w:themeShade="BF"/>
      <w:spacing w:val="5"/>
    </w:rPr>
  </w:style>
  <w:style w:type="paragraph" w:styleId="Header">
    <w:name w:val="header"/>
    <w:basedOn w:val="Normal"/>
    <w:link w:val="HeaderChar"/>
    <w:uiPriority w:val="99"/>
    <w:unhideWhenUsed/>
    <w:rsid w:val="0011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BB"/>
  </w:style>
  <w:style w:type="paragraph" w:styleId="Footer">
    <w:name w:val="footer"/>
    <w:basedOn w:val="Normal"/>
    <w:link w:val="FooterChar"/>
    <w:uiPriority w:val="99"/>
    <w:unhideWhenUsed/>
    <w:rsid w:val="0011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 Brook</dc:creator>
  <cp:keywords/>
  <dc:description/>
  <cp:lastModifiedBy>Harman, Brook</cp:lastModifiedBy>
  <cp:revision>1</cp:revision>
  <dcterms:created xsi:type="dcterms:W3CDTF">2026-05-12T19:53:00Z</dcterms:created>
  <dcterms:modified xsi:type="dcterms:W3CDTF">2026-05-12T20:03:00Z</dcterms:modified>
</cp:coreProperties>
</file>