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0" w:type="dxa"/>
          <w:right w:w="0" w:type="dxa"/>
        </w:tblCellMar>
        <w:tblLook w:val="04A0" w:firstRow="1" w:lastRow="0" w:firstColumn="1" w:lastColumn="0" w:noHBand="0" w:noVBand="1"/>
      </w:tblPr>
      <w:tblGrid>
        <w:gridCol w:w="9360"/>
      </w:tblGrid>
      <w:tr w:rsidR="006D4A7A" w14:paraId="1CE90379" w14:textId="77777777" w:rsidTr="006D4A7A">
        <w:trPr>
          <w:jc w:val="center"/>
        </w:trPr>
        <w:tc>
          <w:tcPr>
            <w:tcW w:w="5000" w:type="pct"/>
            <w:hideMark/>
          </w:tcPr>
          <w:tbl>
            <w:tblPr>
              <w:tblW w:w="5000" w:type="pct"/>
              <w:tblCellMar>
                <w:left w:w="0" w:type="dxa"/>
                <w:right w:w="0" w:type="dxa"/>
              </w:tblCellMar>
              <w:tblLook w:val="04A0" w:firstRow="1" w:lastRow="0" w:firstColumn="1" w:lastColumn="0" w:noHBand="0" w:noVBand="1"/>
            </w:tblPr>
            <w:tblGrid>
              <w:gridCol w:w="9360"/>
            </w:tblGrid>
            <w:tr w:rsidR="006D4A7A" w14:paraId="7C7E3950" w14:textId="77777777">
              <w:tc>
                <w:tcPr>
                  <w:tcW w:w="0" w:type="auto"/>
                  <w:tcMar>
                    <w:top w:w="150" w:type="dxa"/>
                    <w:left w:w="300" w:type="dxa"/>
                    <w:bottom w:w="150" w:type="dxa"/>
                    <w:right w:w="300" w:type="dxa"/>
                  </w:tcMar>
                  <w:hideMark/>
                </w:tcPr>
                <w:p w14:paraId="424F6A53" w14:textId="77777777" w:rsidR="006D4A7A" w:rsidRDefault="006D4A7A">
                  <w:pPr>
                    <w:rPr>
                      <w:color w:val="000000"/>
                      <w:sz w:val="24"/>
                      <w:szCs w:val="24"/>
                    </w:rPr>
                  </w:pPr>
                  <w:r>
                    <w:rPr>
                      <w:color w:val="000000"/>
                      <w:sz w:val="24"/>
                      <w:szCs w:val="24"/>
                    </w:rPr>
                    <w:t>FOR IMMEDIATE RELEASE</w:t>
                  </w:r>
                </w:p>
                <w:p w14:paraId="7BAED069" w14:textId="77777777" w:rsidR="006D4A7A" w:rsidRDefault="006D4A7A">
                  <w:pPr>
                    <w:rPr>
                      <w:color w:val="000000"/>
                      <w:sz w:val="24"/>
                      <w:szCs w:val="24"/>
                    </w:rPr>
                  </w:pPr>
                  <w:r>
                    <w:rPr>
                      <w:color w:val="000000"/>
                      <w:sz w:val="24"/>
                      <w:szCs w:val="24"/>
                    </w:rPr>
                    <w:t>July 1, 2022</w:t>
                  </w:r>
                </w:p>
              </w:tc>
            </w:tr>
          </w:tbl>
          <w:p w14:paraId="1169A4EE" w14:textId="77777777" w:rsidR="006D4A7A" w:rsidRDefault="006D4A7A">
            <w:pPr>
              <w:rPr>
                <w:rFonts w:ascii="Times New Roman" w:eastAsia="Times New Roman" w:hAnsi="Times New Roman" w:cs="Times New Roman"/>
                <w:sz w:val="20"/>
                <w:szCs w:val="20"/>
              </w:rPr>
            </w:pPr>
          </w:p>
        </w:tc>
      </w:tr>
    </w:tbl>
    <w:p w14:paraId="3236F799" w14:textId="77777777" w:rsidR="006D4A7A" w:rsidRDefault="006D4A7A" w:rsidP="006D4A7A">
      <w:pPr>
        <w:jc w:val="center"/>
      </w:pPr>
    </w:p>
    <w:tbl>
      <w:tblPr>
        <w:tblW w:w="5000" w:type="pct"/>
        <w:jc w:val="center"/>
        <w:tblCellMar>
          <w:left w:w="0" w:type="dxa"/>
          <w:right w:w="0" w:type="dxa"/>
        </w:tblCellMar>
        <w:tblLook w:val="04A0" w:firstRow="1" w:lastRow="0" w:firstColumn="1" w:lastColumn="0" w:noHBand="0" w:noVBand="1"/>
      </w:tblPr>
      <w:tblGrid>
        <w:gridCol w:w="9360"/>
      </w:tblGrid>
      <w:tr w:rsidR="006D4A7A" w14:paraId="41496F4D" w14:textId="77777777" w:rsidTr="006D4A7A">
        <w:trPr>
          <w:jc w:val="center"/>
        </w:trPr>
        <w:tc>
          <w:tcPr>
            <w:tcW w:w="5000" w:type="pct"/>
            <w:hideMark/>
          </w:tcPr>
          <w:tbl>
            <w:tblPr>
              <w:tblW w:w="5000" w:type="pct"/>
              <w:tblCellMar>
                <w:left w:w="0" w:type="dxa"/>
                <w:right w:w="0" w:type="dxa"/>
              </w:tblCellMar>
              <w:tblLook w:val="04A0" w:firstRow="1" w:lastRow="0" w:firstColumn="1" w:lastColumn="0" w:noHBand="0" w:noVBand="1"/>
            </w:tblPr>
            <w:tblGrid>
              <w:gridCol w:w="9360"/>
            </w:tblGrid>
            <w:tr w:rsidR="006D4A7A" w14:paraId="104EC4BD" w14:textId="77777777">
              <w:tc>
                <w:tcPr>
                  <w:tcW w:w="0" w:type="auto"/>
                  <w:tcMar>
                    <w:top w:w="150" w:type="dxa"/>
                    <w:left w:w="300" w:type="dxa"/>
                    <w:bottom w:w="150" w:type="dxa"/>
                    <w:right w:w="300" w:type="dxa"/>
                  </w:tcMar>
                  <w:hideMark/>
                </w:tcPr>
                <w:p w14:paraId="01C57CBB" w14:textId="6AC3C470" w:rsidR="006D4A7A" w:rsidRDefault="006D4A7A">
                  <w:pPr>
                    <w:rPr>
                      <w:color w:val="000000"/>
                      <w:sz w:val="24"/>
                      <w:szCs w:val="24"/>
                    </w:rPr>
                  </w:pPr>
                  <w:r>
                    <w:rPr>
                      <w:b/>
                      <w:bCs/>
                      <w:color w:val="212529"/>
                      <w:sz w:val="33"/>
                      <w:szCs w:val="33"/>
                    </w:rPr>
                    <w:t xml:space="preserve">$20 million </w:t>
                  </w:r>
                  <w:r>
                    <w:rPr>
                      <w:b/>
                      <w:bCs/>
                      <w:color w:val="212529"/>
                      <w:sz w:val="33"/>
                      <w:szCs w:val="33"/>
                    </w:rPr>
                    <w:t>i</w:t>
                  </w:r>
                  <w:r>
                    <w:rPr>
                      <w:b/>
                      <w:bCs/>
                      <w:color w:val="212529"/>
                      <w:sz w:val="33"/>
                      <w:szCs w:val="33"/>
                    </w:rPr>
                    <w:t>n Leading Idaho funds available for projects that reduce phosphorus pollution in Coeur d’Alene Lake</w:t>
                  </w:r>
                </w:p>
              </w:tc>
            </w:tr>
          </w:tbl>
          <w:p w14:paraId="38DE3FFC" w14:textId="77777777" w:rsidR="006D4A7A" w:rsidRDefault="006D4A7A">
            <w:pPr>
              <w:rPr>
                <w:rFonts w:ascii="Times New Roman" w:eastAsia="Times New Roman" w:hAnsi="Times New Roman" w:cs="Times New Roman"/>
                <w:sz w:val="20"/>
                <w:szCs w:val="20"/>
              </w:rPr>
            </w:pPr>
          </w:p>
        </w:tc>
      </w:tr>
    </w:tbl>
    <w:p w14:paraId="393FC520" w14:textId="77777777" w:rsidR="006D4A7A" w:rsidRDefault="006D4A7A" w:rsidP="006D4A7A">
      <w:pPr>
        <w:jc w:val="center"/>
      </w:pPr>
    </w:p>
    <w:tbl>
      <w:tblPr>
        <w:tblW w:w="5000" w:type="pct"/>
        <w:jc w:val="center"/>
        <w:tblCellMar>
          <w:left w:w="0" w:type="dxa"/>
          <w:right w:w="0" w:type="dxa"/>
        </w:tblCellMar>
        <w:tblLook w:val="04A0" w:firstRow="1" w:lastRow="0" w:firstColumn="1" w:lastColumn="0" w:noHBand="0" w:noVBand="1"/>
      </w:tblPr>
      <w:tblGrid>
        <w:gridCol w:w="9360"/>
      </w:tblGrid>
      <w:tr w:rsidR="006D4A7A" w14:paraId="33E6EDFD" w14:textId="77777777" w:rsidTr="006D4A7A">
        <w:trPr>
          <w:jc w:val="center"/>
        </w:trPr>
        <w:tc>
          <w:tcPr>
            <w:tcW w:w="5000" w:type="pct"/>
            <w:hideMark/>
          </w:tcPr>
          <w:tbl>
            <w:tblPr>
              <w:tblW w:w="5000" w:type="pct"/>
              <w:tblCellMar>
                <w:left w:w="0" w:type="dxa"/>
                <w:right w:w="0" w:type="dxa"/>
              </w:tblCellMar>
              <w:tblLook w:val="04A0" w:firstRow="1" w:lastRow="0" w:firstColumn="1" w:lastColumn="0" w:noHBand="0" w:noVBand="1"/>
            </w:tblPr>
            <w:tblGrid>
              <w:gridCol w:w="9360"/>
            </w:tblGrid>
            <w:tr w:rsidR="006D4A7A" w14:paraId="0E8BA74E" w14:textId="77777777">
              <w:tc>
                <w:tcPr>
                  <w:tcW w:w="0" w:type="auto"/>
                  <w:tcMar>
                    <w:top w:w="150" w:type="dxa"/>
                    <w:left w:w="300" w:type="dxa"/>
                    <w:bottom w:w="150" w:type="dxa"/>
                    <w:right w:w="300" w:type="dxa"/>
                  </w:tcMar>
                  <w:hideMark/>
                </w:tcPr>
                <w:p w14:paraId="5E7A2288" w14:textId="77777777" w:rsidR="006D4A7A" w:rsidRDefault="006D4A7A">
                  <w:pPr>
                    <w:rPr>
                      <w:color w:val="000000"/>
                      <w:sz w:val="24"/>
                      <w:szCs w:val="24"/>
                    </w:rPr>
                  </w:pPr>
                  <w:r>
                    <w:rPr>
                      <w:b/>
                      <w:bCs/>
                      <w:color w:val="000000"/>
                      <w:sz w:val="24"/>
                      <w:szCs w:val="24"/>
                    </w:rPr>
                    <w:t>Contact</w:t>
                  </w:r>
                  <w:r>
                    <w:rPr>
                      <w:color w:val="000000"/>
                      <w:sz w:val="24"/>
                      <w:szCs w:val="24"/>
                    </w:rPr>
                    <w:t xml:space="preserve">: Jamie Brunner, Lake Management Plan Supervisor, </w:t>
                  </w:r>
                  <w:hyperlink r:id="rId5" w:tgtFrame="_blank" w:history="1">
                    <w:r>
                      <w:rPr>
                        <w:rStyle w:val="Hyperlink"/>
                        <w:color w:val="5E81CA"/>
                        <w:sz w:val="24"/>
                        <w:szCs w:val="24"/>
                      </w:rPr>
                      <w:t>Jamie.brunner@deq.idaho.gov</w:t>
                    </w:r>
                  </w:hyperlink>
                  <w:r>
                    <w:rPr>
                      <w:color w:val="000000"/>
                      <w:sz w:val="24"/>
                      <w:szCs w:val="24"/>
                    </w:rPr>
                    <w:t xml:space="preserve"> </w:t>
                  </w:r>
                </w:p>
              </w:tc>
            </w:tr>
          </w:tbl>
          <w:p w14:paraId="1E9E2465" w14:textId="77777777" w:rsidR="006D4A7A" w:rsidRDefault="006D4A7A">
            <w:pPr>
              <w:rPr>
                <w:rFonts w:ascii="Times New Roman" w:eastAsia="Times New Roman" w:hAnsi="Times New Roman" w:cs="Times New Roman"/>
                <w:sz w:val="20"/>
                <w:szCs w:val="20"/>
              </w:rPr>
            </w:pPr>
          </w:p>
        </w:tc>
      </w:tr>
    </w:tbl>
    <w:p w14:paraId="3D44DEB3" w14:textId="77777777" w:rsidR="006D4A7A" w:rsidRDefault="006D4A7A" w:rsidP="006D4A7A"/>
    <w:tbl>
      <w:tblPr>
        <w:tblW w:w="5000" w:type="pct"/>
        <w:jc w:val="center"/>
        <w:tblCellMar>
          <w:left w:w="0" w:type="dxa"/>
          <w:right w:w="0" w:type="dxa"/>
        </w:tblCellMar>
        <w:tblLook w:val="04A0" w:firstRow="1" w:lastRow="0" w:firstColumn="1" w:lastColumn="0" w:noHBand="0" w:noVBand="1"/>
      </w:tblPr>
      <w:tblGrid>
        <w:gridCol w:w="9360"/>
      </w:tblGrid>
      <w:tr w:rsidR="006D4A7A" w14:paraId="719D394C" w14:textId="77777777" w:rsidTr="006D4A7A">
        <w:trPr>
          <w:jc w:val="center"/>
        </w:trPr>
        <w:tc>
          <w:tcPr>
            <w:tcW w:w="5000" w:type="pct"/>
            <w:hideMark/>
          </w:tcPr>
          <w:tbl>
            <w:tblPr>
              <w:tblW w:w="5000" w:type="pct"/>
              <w:tblCellMar>
                <w:left w:w="0" w:type="dxa"/>
                <w:right w:w="0" w:type="dxa"/>
              </w:tblCellMar>
              <w:tblLook w:val="04A0" w:firstRow="1" w:lastRow="0" w:firstColumn="1" w:lastColumn="0" w:noHBand="0" w:noVBand="1"/>
            </w:tblPr>
            <w:tblGrid>
              <w:gridCol w:w="9360"/>
            </w:tblGrid>
            <w:tr w:rsidR="006D4A7A" w14:paraId="77EF3417" w14:textId="77777777">
              <w:tc>
                <w:tcPr>
                  <w:tcW w:w="0" w:type="auto"/>
                  <w:tcMar>
                    <w:top w:w="150" w:type="dxa"/>
                    <w:left w:w="300" w:type="dxa"/>
                    <w:bottom w:w="150" w:type="dxa"/>
                    <w:right w:w="300" w:type="dxa"/>
                  </w:tcMar>
                </w:tcPr>
                <w:p w14:paraId="16204010" w14:textId="77777777" w:rsidR="006D4A7A" w:rsidRDefault="006D4A7A">
                  <w:pPr>
                    <w:rPr>
                      <w:color w:val="000000"/>
                      <w:sz w:val="24"/>
                      <w:szCs w:val="24"/>
                    </w:rPr>
                  </w:pPr>
                  <w:r>
                    <w:rPr>
                      <w:color w:val="212529"/>
                      <w:sz w:val="24"/>
                      <w:szCs w:val="24"/>
                    </w:rPr>
                    <w:t xml:space="preserve">COEUR D’ALENE — The Coeur d’Alene Lake Advisory Committee announced Friday that the period for submitting nutrient-reduction proposals is now open thanks to an </w:t>
                  </w:r>
                  <w:hyperlink r:id="rId6" w:tgtFrame="_blank" w:history="1">
                    <w:r>
                      <w:rPr>
                        <w:rStyle w:val="Hyperlink"/>
                        <w:color w:val="467EF6"/>
                        <w:sz w:val="24"/>
                        <w:szCs w:val="24"/>
                      </w:rPr>
                      <w:t>additional $20 million</w:t>
                    </w:r>
                  </w:hyperlink>
                  <w:r>
                    <w:rPr>
                      <w:color w:val="212529"/>
                      <w:sz w:val="24"/>
                      <w:szCs w:val="24"/>
                    </w:rPr>
                    <w:t xml:space="preserve"> made available through Governor Little’s Leading Idaho initiative.</w:t>
                  </w:r>
                  <w:r>
                    <w:rPr>
                      <w:color w:val="000000"/>
                      <w:sz w:val="24"/>
                      <w:szCs w:val="24"/>
                    </w:rPr>
                    <w:t xml:space="preserve"> </w:t>
                  </w:r>
                </w:p>
                <w:p w14:paraId="6E4660C7" w14:textId="77777777" w:rsidR="006D4A7A" w:rsidRDefault="006D4A7A">
                  <w:pPr>
                    <w:rPr>
                      <w:color w:val="000000"/>
                      <w:sz w:val="24"/>
                      <w:szCs w:val="24"/>
                    </w:rPr>
                  </w:pPr>
                </w:p>
                <w:p w14:paraId="1CFBB0A0" w14:textId="77777777" w:rsidR="006D4A7A" w:rsidRDefault="006D4A7A">
                  <w:pPr>
                    <w:rPr>
                      <w:color w:val="000000"/>
                      <w:sz w:val="24"/>
                      <w:szCs w:val="24"/>
                    </w:rPr>
                  </w:pPr>
                  <w:r>
                    <w:rPr>
                      <w:color w:val="212529"/>
                      <w:sz w:val="24"/>
                      <w:szCs w:val="24"/>
                    </w:rPr>
                    <w:t xml:space="preserve">In 2021, Governor Little </w:t>
                  </w:r>
                  <w:hyperlink r:id="rId7" w:tgtFrame="_blank" w:history="1">
                    <w:r>
                      <w:rPr>
                        <w:rStyle w:val="Hyperlink"/>
                        <w:color w:val="467EF6"/>
                        <w:sz w:val="24"/>
                        <w:szCs w:val="24"/>
                      </w:rPr>
                      <w:t xml:space="preserve">directed $2 million </w:t>
                    </w:r>
                  </w:hyperlink>
                  <w:r>
                    <w:rPr>
                      <w:color w:val="212529"/>
                      <w:sz w:val="24"/>
                      <w:szCs w:val="24"/>
                    </w:rPr>
                    <w:t>for “shovel-ready” projects that improve water quality in Coeur d’Alene Lake. This second round of funding aims to advance additional cleanup projects that reduce phosphorus pollution in Coeur d’Alene Lake.</w:t>
                  </w:r>
                  <w:r>
                    <w:rPr>
                      <w:color w:val="000000"/>
                      <w:sz w:val="24"/>
                      <w:szCs w:val="24"/>
                    </w:rPr>
                    <w:t xml:space="preserve"> </w:t>
                  </w:r>
                </w:p>
                <w:p w14:paraId="7EB3A730" w14:textId="77777777" w:rsidR="006D4A7A" w:rsidRDefault="006D4A7A">
                  <w:pPr>
                    <w:rPr>
                      <w:color w:val="000000"/>
                      <w:sz w:val="24"/>
                      <w:szCs w:val="24"/>
                    </w:rPr>
                  </w:pPr>
                </w:p>
                <w:p w14:paraId="4D21DE10" w14:textId="77777777" w:rsidR="006D4A7A" w:rsidRDefault="006D4A7A">
                  <w:pPr>
                    <w:rPr>
                      <w:color w:val="000000"/>
                      <w:sz w:val="24"/>
                      <w:szCs w:val="24"/>
                    </w:rPr>
                  </w:pPr>
                  <w:r>
                    <w:rPr>
                      <w:b/>
                      <w:bCs/>
                      <w:color w:val="212529"/>
                      <w:sz w:val="24"/>
                      <w:szCs w:val="24"/>
                    </w:rPr>
                    <w:t xml:space="preserve">“Coeur d’Alene Lake is the heart of our North Idaho community, playing a crucial role in its culture, </w:t>
                  </w:r>
                  <w:proofErr w:type="gramStart"/>
                  <w:r>
                    <w:rPr>
                      <w:b/>
                      <w:bCs/>
                      <w:color w:val="212529"/>
                      <w:sz w:val="24"/>
                      <w:szCs w:val="24"/>
                    </w:rPr>
                    <w:t>economy</w:t>
                  </w:r>
                  <w:proofErr w:type="gramEnd"/>
                  <w:r>
                    <w:rPr>
                      <w:b/>
                      <w:bCs/>
                      <w:color w:val="212529"/>
                      <w:sz w:val="24"/>
                      <w:szCs w:val="24"/>
                    </w:rPr>
                    <w:t xml:space="preserve"> and way of life. Preserving the lake is an absolute must,” </w:t>
                  </w:r>
                  <w:r>
                    <w:rPr>
                      <w:color w:val="212529"/>
                      <w:sz w:val="24"/>
                      <w:szCs w:val="24"/>
                    </w:rPr>
                    <w:t>Idaho Governor Brad Little said. </w:t>
                  </w:r>
                  <w:r>
                    <w:rPr>
                      <w:b/>
                      <w:bCs/>
                      <w:color w:val="212529"/>
                      <w:sz w:val="24"/>
                      <w:szCs w:val="24"/>
                    </w:rPr>
                    <w:t>“The projects selected by the Coeur d’Alene Lake Advisory Committee and made possible through our Leading Idaho plan are helping to protect the vitality of Coeur d’Alene Lake for our future generations. While we’ve made a lot of progress to protect the lake, we’re taking steps to address the work still needed.”</w:t>
                  </w:r>
                  <w:r>
                    <w:rPr>
                      <w:color w:val="000000"/>
                      <w:sz w:val="24"/>
                      <w:szCs w:val="24"/>
                    </w:rPr>
                    <w:t xml:space="preserve"> </w:t>
                  </w:r>
                </w:p>
                <w:p w14:paraId="2750EEF2" w14:textId="77777777" w:rsidR="006D4A7A" w:rsidRDefault="006D4A7A">
                  <w:pPr>
                    <w:rPr>
                      <w:color w:val="000000"/>
                      <w:sz w:val="24"/>
                      <w:szCs w:val="24"/>
                    </w:rPr>
                  </w:pPr>
                </w:p>
                <w:p w14:paraId="66EB794D" w14:textId="77777777" w:rsidR="006D4A7A" w:rsidRDefault="006D4A7A">
                  <w:pPr>
                    <w:rPr>
                      <w:color w:val="000000"/>
                      <w:sz w:val="24"/>
                      <w:szCs w:val="24"/>
                    </w:rPr>
                  </w:pPr>
                  <w:r>
                    <w:rPr>
                      <w:b/>
                      <w:bCs/>
                      <w:color w:val="212529"/>
                      <w:sz w:val="24"/>
                      <w:szCs w:val="24"/>
                    </w:rPr>
                    <w:t>“This investment demonstrates the commitment that the State of Idaho has to the long-term health of the lake. I want to express my gratitude to Governor Little, committee members, and DEQ staff for their hard work and dedication to improve water quality in Coeur d’Alene Lake,” </w:t>
                  </w:r>
                  <w:r>
                    <w:rPr>
                      <w:color w:val="212529"/>
                      <w:sz w:val="24"/>
                      <w:szCs w:val="24"/>
                    </w:rPr>
                    <w:t>said DEQ Director Jess Byrne.</w:t>
                  </w:r>
                  <w:r>
                    <w:rPr>
                      <w:color w:val="000000"/>
                      <w:sz w:val="24"/>
                      <w:szCs w:val="24"/>
                    </w:rPr>
                    <w:t xml:space="preserve"> </w:t>
                  </w:r>
                </w:p>
                <w:p w14:paraId="7299726F" w14:textId="77777777" w:rsidR="006D4A7A" w:rsidRDefault="006D4A7A">
                  <w:pPr>
                    <w:rPr>
                      <w:color w:val="000000"/>
                      <w:sz w:val="24"/>
                      <w:szCs w:val="24"/>
                    </w:rPr>
                  </w:pPr>
                </w:p>
                <w:p w14:paraId="03C80902" w14:textId="77777777" w:rsidR="006D4A7A" w:rsidRDefault="006D4A7A">
                  <w:pPr>
                    <w:rPr>
                      <w:color w:val="000000"/>
                      <w:sz w:val="24"/>
                      <w:szCs w:val="24"/>
                    </w:rPr>
                  </w:pPr>
                  <w:r>
                    <w:rPr>
                      <w:color w:val="212529"/>
                      <w:sz w:val="24"/>
                      <w:szCs w:val="24"/>
                    </w:rPr>
                    <w:t>The committee will use the following criteria to prioritize proposals:</w:t>
                  </w:r>
                </w:p>
                <w:p w14:paraId="2C0E4ECB" w14:textId="77777777" w:rsidR="006D4A7A" w:rsidRDefault="006D4A7A">
                  <w:pPr>
                    <w:rPr>
                      <w:color w:val="000000"/>
                      <w:sz w:val="24"/>
                      <w:szCs w:val="24"/>
                    </w:rPr>
                  </w:pPr>
                </w:p>
                <w:p w14:paraId="3BF19D02" w14:textId="77777777" w:rsidR="006D4A7A" w:rsidRDefault="006D4A7A" w:rsidP="00AC1CD5">
                  <w:pPr>
                    <w:numPr>
                      <w:ilvl w:val="0"/>
                      <w:numId w:val="1"/>
                    </w:numPr>
                    <w:ind w:left="1320" w:hanging="240"/>
                    <w:rPr>
                      <w:color w:val="212529"/>
                      <w:sz w:val="24"/>
                      <w:szCs w:val="24"/>
                    </w:rPr>
                  </w:pPr>
                  <w:r>
                    <w:rPr>
                      <w:color w:val="212529"/>
                      <w:sz w:val="24"/>
                      <w:szCs w:val="24"/>
                    </w:rPr>
                    <w:t>On-the-ground projects that reduce phosphorus loads to Coeur d’Alene Lake</w:t>
                  </w:r>
                </w:p>
                <w:p w14:paraId="3F2138B5" w14:textId="77777777" w:rsidR="006D4A7A" w:rsidRDefault="006D4A7A" w:rsidP="00AC1CD5">
                  <w:pPr>
                    <w:numPr>
                      <w:ilvl w:val="0"/>
                      <w:numId w:val="1"/>
                    </w:numPr>
                    <w:ind w:left="1320" w:hanging="240"/>
                    <w:rPr>
                      <w:color w:val="212529"/>
                      <w:sz w:val="24"/>
                      <w:szCs w:val="24"/>
                    </w:rPr>
                  </w:pPr>
                  <w:r>
                    <w:rPr>
                      <w:color w:val="212529"/>
                      <w:sz w:val="24"/>
                      <w:szCs w:val="24"/>
                    </w:rPr>
                    <w:t>Projects located within Idaho and the watershed area draining to Coeur d’Alene Lake</w:t>
                  </w:r>
                </w:p>
                <w:p w14:paraId="78894F91" w14:textId="77777777" w:rsidR="006D4A7A" w:rsidRDefault="006D4A7A" w:rsidP="00AC1CD5">
                  <w:pPr>
                    <w:numPr>
                      <w:ilvl w:val="0"/>
                      <w:numId w:val="1"/>
                    </w:numPr>
                    <w:ind w:left="1320" w:hanging="240"/>
                    <w:rPr>
                      <w:color w:val="212529"/>
                      <w:sz w:val="24"/>
                      <w:szCs w:val="24"/>
                    </w:rPr>
                  </w:pPr>
                  <w:r>
                    <w:rPr>
                      <w:color w:val="212529"/>
                      <w:sz w:val="24"/>
                      <w:szCs w:val="24"/>
                    </w:rPr>
                    <w:t>Projects that reduce levels of phosphorus entering Coeur d’Alene Lake and its tributaries</w:t>
                  </w:r>
                </w:p>
                <w:p w14:paraId="46BE6962" w14:textId="77777777" w:rsidR="006D4A7A" w:rsidRDefault="006D4A7A" w:rsidP="00AC1CD5">
                  <w:pPr>
                    <w:numPr>
                      <w:ilvl w:val="0"/>
                      <w:numId w:val="1"/>
                    </w:numPr>
                    <w:ind w:left="1320" w:hanging="240"/>
                    <w:rPr>
                      <w:color w:val="212529"/>
                      <w:sz w:val="24"/>
                      <w:szCs w:val="24"/>
                    </w:rPr>
                  </w:pPr>
                  <w:r>
                    <w:rPr>
                      <w:color w:val="212529"/>
                      <w:sz w:val="24"/>
                      <w:szCs w:val="24"/>
                    </w:rPr>
                    <w:t>Community support for the project</w:t>
                  </w:r>
                </w:p>
                <w:p w14:paraId="11DDAA3F" w14:textId="77777777" w:rsidR="006D4A7A" w:rsidRDefault="006D4A7A">
                  <w:pPr>
                    <w:rPr>
                      <w:color w:val="000000"/>
                      <w:sz w:val="24"/>
                      <w:szCs w:val="24"/>
                    </w:rPr>
                  </w:pPr>
                </w:p>
                <w:p w14:paraId="7FD8FDF6" w14:textId="77777777" w:rsidR="006D4A7A" w:rsidRDefault="006D4A7A">
                  <w:pPr>
                    <w:rPr>
                      <w:color w:val="000000"/>
                      <w:sz w:val="24"/>
                      <w:szCs w:val="24"/>
                    </w:rPr>
                  </w:pPr>
                  <w:r>
                    <w:rPr>
                      <w:color w:val="212529"/>
                      <w:sz w:val="24"/>
                      <w:szCs w:val="24"/>
                    </w:rPr>
                    <w:lastRenderedPageBreak/>
                    <w:t>Priority will be given to proposals that are ready to implement quickly and that provide the largest reductions in phosphorus loading to Coeur d’Alene Lake. Federally owned or managed lands are ineligible. Monitoring, education, and outreach may be a component of a project but not the primary focus.</w:t>
                  </w:r>
                </w:p>
                <w:p w14:paraId="4293C6B8" w14:textId="77777777" w:rsidR="006D4A7A" w:rsidRDefault="006D4A7A">
                  <w:pPr>
                    <w:rPr>
                      <w:color w:val="000000"/>
                      <w:sz w:val="24"/>
                      <w:szCs w:val="24"/>
                    </w:rPr>
                  </w:pPr>
                </w:p>
                <w:p w14:paraId="3A3B6087" w14:textId="77777777" w:rsidR="006D4A7A" w:rsidRDefault="006D4A7A">
                  <w:pPr>
                    <w:rPr>
                      <w:color w:val="000000"/>
                      <w:sz w:val="24"/>
                      <w:szCs w:val="24"/>
                    </w:rPr>
                  </w:pPr>
                  <w:r>
                    <w:rPr>
                      <w:color w:val="212529"/>
                      <w:sz w:val="24"/>
                      <w:szCs w:val="24"/>
                    </w:rPr>
                    <w:t>The application can be found on the committee’s </w:t>
                  </w:r>
                  <w:hyperlink r:id="rId8" w:tgtFrame="_blank" w:history="1">
                    <w:r>
                      <w:rPr>
                        <w:rStyle w:val="Hyperlink"/>
                        <w:color w:val="467EF6"/>
                        <w:sz w:val="24"/>
                        <w:szCs w:val="24"/>
                      </w:rPr>
                      <w:t>Notice of Solicitation</w:t>
                    </w:r>
                  </w:hyperlink>
                  <w:r>
                    <w:rPr>
                      <w:color w:val="212529"/>
                      <w:sz w:val="24"/>
                      <w:szCs w:val="24"/>
                    </w:rPr>
                    <w:t xml:space="preserve"> page. Applications will </w:t>
                  </w:r>
                  <w:proofErr w:type="gramStart"/>
                  <w:r>
                    <w:rPr>
                      <w:color w:val="212529"/>
                      <w:sz w:val="24"/>
                      <w:szCs w:val="24"/>
                    </w:rPr>
                    <w:t>are</w:t>
                  </w:r>
                  <w:proofErr w:type="gramEnd"/>
                  <w:r>
                    <w:rPr>
                      <w:color w:val="212529"/>
                      <w:sz w:val="24"/>
                      <w:szCs w:val="24"/>
                    </w:rPr>
                    <w:t xml:space="preserve"> due by September 15, 2022, at 11:59 pm PST.</w:t>
                  </w:r>
                  <w:r>
                    <w:rPr>
                      <w:color w:val="000000"/>
                      <w:sz w:val="24"/>
                      <w:szCs w:val="24"/>
                    </w:rPr>
                    <w:t xml:space="preserve"> </w:t>
                  </w:r>
                </w:p>
                <w:p w14:paraId="12F2F329" w14:textId="77777777" w:rsidR="006D4A7A" w:rsidRDefault="006D4A7A">
                  <w:pPr>
                    <w:rPr>
                      <w:color w:val="000000"/>
                      <w:sz w:val="24"/>
                      <w:szCs w:val="24"/>
                    </w:rPr>
                  </w:pPr>
                </w:p>
                <w:p w14:paraId="0D6736C0" w14:textId="77777777" w:rsidR="006D4A7A" w:rsidRDefault="006D4A7A">
                  <w:pPr>
                    <w:rPr>
                      <w:color w:val="000000"/>
                      <w:sz w:val="24"/>
                      <w:szCs w:val="24"/>
                    </w:rPr>
                  </w:pPr>
                  <w:r>
                    <w:rPr>
                      <w:color w:val="212529"/>
                      <w:sz w:val="24"/>
                      <w:szCs w:val="24"/>
                    </w:rPr>
                    <w:t>The committee will meet again in October to review project proposals. A final decision is expected in November.</w:t>
                  </w:r>
                </w:p>
                <w:p w14:paraId="4BAC28D5" w14:textId="77777777" w:rsidR="006D4A7A" w:rsidRDefault="006D4A7A">
                  <w:pPr>
                    <w:rPr>
                      <w:color w:val="000000"/>
                      <w:sz w:val="24"/>
                      <w:szCs w:val="24"/>
                    </w:rPr>
                  </w:pPr>
                </w:p>
                <w:p w14:paraId="26A75F5A" w14:textId="77777777" w:rsidR="006D4A7A" w:rsidRDefault="006D4A7A">
                  <w:pPr>
                    <w:rPr>
                      <w:color w:val="000000"/>
                      <w:sz w:val="24"/>
                      <w:szCs w:val="24"/>
                    </w:rPr>
                  </w:pPr>
                  <w:r>
                    <w:rPr>
                      <w:color w:val="212529"/>
                      <w:sz w:val="24"/>
                      <w:szCs w:val="24"/>
                    </w:rPr>
                    <w:t>Submit applications by mail or email to:</w:t>
                  </w:r>
                </w:p>
                <w:p w14:paraId="7E01CFB7" w14:textId="77777777" w:rsidR="006D4A7A" w:rsidRDefault="006D4A7A">
                  <w:pPr>
                    <w:rPr>
                      <w:color w:val="000000"/>
                      <w:sz w:val="24"/>
                      <w:szCs w:val="24"/>
                    </w:rPr>
                  </w:pPr>
                </w:p>
                <w:p w14:paraId="268A9F63" w14:textId="77777777" w:rsidR="006D4A7A" w:rsidRDefault="006D4A7A">
                  <w:pPr>
                    <w:rPr>
                      <w:color w:val="000000"/>
                      <w:sz w:val="24"/>
                      <w:szCs w:val="24"/>
                    </w:rPr>
                  </w:pPr>
                  <w:r>
                    <w:rPr>
                      <w:color w:val="212529"/>
                      <w:sz w:val="24"/>
                      <w:szCs w:val="24"/>
                    </w:rPr>
                    <w:t>Jamie Brunner</w:t>
                  </w:r>
                </w:p>
                <w:p w14:paraId="2F114ED7" w14:textId="77777777" w:rsidR="006D4A7A" w:rsidRDefault="006D4A7A">
                  <w:pPr>
                    <w:rPr>
                      <w:color w:val="000000"/>
                      <w:sz w:val="24"/>
                      <w:szCs w:val="24"/>
                    </w:rPr>
                  </w:pPr>
                  <w:r>
                    <w:rPr>
                      <w:color w:val="212529"/>
                      <w:sz w:val="24"/>
                      <w:szCs w:val="24"/>
                    </w:rPr>
                    <w:t>DEQ Coeur d’Alene Regional Office</w:t>
                  </w:r>
                </w:p>
                <w:p w14:paraId="460A5896" w14:textId="77777777" w:rsidR="006D4A7A" w:rsidRDefault="006D4A7A">
                  <w:pPr>
                    <w:rPr>
                      <w:color w:val="000000"/>
                      <w:sz w:val="24"/>
                      <w:szCs w:val="24"/>
                    </w:rPr>
                  </w:pPr>
                  <w:r>
                    <w:rPr>
                      <w:color w:val="212529"/>
                      <w:sz w:val="24"/>
                      <w:szCs w:val="24"/>
                    </w:rPr>
                    <w:t>2110 Ironwood Parkway</w:t>
                  </w:r>
                </w:p>
                <w:p w14:paraId="15F53B1A" w14:textId="77777777" w:rsidR="006D4A7A" w:rsidRDefault="006D4A7A">
                  <w:pPr>
                    <w:rPr>
                      <w:color w:val="000000"/>
                      <w:sz w:val="24"/>
                      <w:szCs w:val="24"/>
                    </w:rPr>
                  </w:pPr>
                  <w:r>
                    <w:rPr>
                      <w:color w:val="212529"/>
                      <w:sz w:val="24"/>
                      <w:szCs w:val="24"/>
                    </w:rPr>
                    <w:t>Coeur d’Alene, Idaho 83814</w:t>
                  </w:r>
                </w:p>
                <w:p w14:paraId="7BE9084B" w14:textId="77777777" w:rsidR="006D4A7A" w:rsidRDefault="006D4A7A">
                  <w:pPr>
                    <w:rPr>
                      <w:color w:val="000000"/>
                      <w:sz w:val="24"/>
                      <w:szCs w:val="24"/>
                    </w:rPr>
                  </w:pPr>
                  <w:hyperlink r:id="rId9" w:tgtFrame="_blank" w:history="1">
                    <w:r>
                      <w:rPr>
                        <w:rStyle w:val="Hyperlink"/>
                        <w:color w:val="467EF6"/>
                        <w:sz w:val="24"/>
                        <w:szCs w:val="24"/>
                      </w:rPr>
                      <w:t>Jamie.brunner@deq.idaho.gov</w:t>
                    </w:r>
                  </w:hyperlink>
                </w:p>
                <w:p w14:paraId="35F019C3" w14:textId="77777777" w:rsidR="006D4A7A" w:rsidRDefault="006D4A7A">
                  <w:pPr>
                    <w:rPr>
                      <w:color w:val="000000"/>
                      <w:sz w:val="24"/>
                      <w:szCs w:val="24"/>
                    </w:rPr>
                  </w:pPr>
                </w:p>
                <w:p w14:paraId="571912B3" w14:textId="77777777" w:rsidR="006D4A7A" w:rsidRDefault="006D4A7A">
                  <w:pPr>
                    <w:jc w:val="center"/>
                    <w:rPr>
                      <w:color w:val="000000"/>
                      <w:sz w:val="24"/>
                      <w:szCs w:val="24"/>
                    </w:rPr>
                  </w:pPr>
                  <w:r>
                    <w:rPr>
                      <w:color w:val="000000"/>
                      <w:sz w:val="24"/>
                      <w:szCs w:val="24"/>
                    </w:rPr>
                    <w:t># # #</w:t>
                  </w:r>
                </w:p>
              </w:tc>
            </w:tr>
          </w:tbl>
          <w:p w14:paraId="2EAE591B" w14:textId="77777777" w:rsidR="006D4A7A" w:rsidRDefault="006D4A7A">
            <w:pPr>
              <w:rPr>
                <w:rFonts w:ascii="Times New Roman" w:eastAsia="Times New Roman" w:hAnsi="Times New Roman" w:cs="Times New Roman"/>
                <w:sz w:val="20"/>
                <w:szCs w:val="20"/>
              </w:rPr>
            </w:pPr>
          </w:p>
        </w:tc>
      </w:tr>
    </w:tbl>
    <w:p w14:paraId="3E536283" w14:textId="77777777" w:rsidR="00167D41" w:rsidRDefault="00167D41"/>
    <w:sectPr w:rsidR="00167D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203FD"/>
    <w:multiLevelType w:val="multilevel"/>
    <w:tmpl w:val="6DB2B9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9409837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A7A"/>
    <w:rsid w:val="001418FD"/>
    <w:rsid w:val="00167D41"/>
    <w:rsid w:val="006D4A7A"/>
    <w:rsid w:val="006F7F73"/>
    <w:rsid w:val="00E92883"/>
    <w:rsid w:val="00F17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BEC90"/>
  <w15:chartTrackingRefBased/>
  <w15:docId w15:val="{A337E76B-D1EA-494D-B2B4-CDB881C0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A7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D4A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24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20.rs6.net/tn.jsp?f=001R7K3KEecoMuhNUIlbqY9LX2lDFZljqYbQmsk8_ZiSR_D2nwC9WVbtWYoiFTYF__gxMl467-UZBAKj357AKScHIyKKOCnAi6888cnf7XtplIk6vgCbYKuLG0MRdsagE2OynN7J2opwAezCyf3I6fbt8wHn3UGPGBbBD53J-FJsU2t1e_wYwXXc8J4N4DGtWt7OSLlIMl8H5GgT2Pn4WufE31sVYa1xRuFkwAvUrL6-MY=&amp;c=of4kdb2B9-90D2suv_zoDz_FtW4QXLsPUH6DQ1NSLgIGkEEfQG-xnA==&amp;ch=LvzXTdm8NxRpgW6z6f54Z-192O4l5b20biRiQcddaLqUjpZNzNp7MQ==" TargetMode="External"/><Relationship Id="rId3" Type="http://schemas.openxmlformats.org/officeDocument/2006/relationships/settings" Target="settings.xml"/><Relationship Id="rId7" Type="http://schemas.openxmlformats.org/officeDocument/2006/relationships/hyperlink" Target="https://r20.rs6.net/tn.jsp?f=001R7K3KEecoMuhNUIlbqY9LX2lDFZljqYbQmsk8_ZiSR_D2nwC9WVbtWYoiFTYF__gqxznuOpWsm1945qDYqan63XasINFVMQ5g-9asA6ChXexmD2WPo23rzBKiVLgnucD3dKy3dVxH03hxWafugtmW5SfQ6PFsTJHixHWVXsRrIqm0Y6O9f-tr0LnWlXFN7otxoXBWPOiyzENLfw1gglKFjt5aUo8uqsQXn4DqvnjbO4=&amp;c=of4kdb2B9-90D2suv_zoDz_FtW4QXLsPUH6DQ1NSLgIGkEEfQG-xnA==&amp;ch=LvzXTdm8NxRpgW6z6f54Z-192O4l5b20biRiQcddaLqUjpZNzNp7M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20.rs6.net/tn.jsp?f=001R7K3KEecoMuhNUIlbqY9LX2lDFZljqYbQmsk8_ZiSR_D2nwC9WVbtWYoiFTYF__gz1Cph2QTPslJu3Gh5RIreJSNNliQ8yGv-m9MDLcgad0VpNUjKEIZi9d9ce2a8YFCx0RhVVeM9fo666CZGNilFsdGHAJZp7-yc6v9XbEcXLFcjh4TEQea13GIflcGWw1UI09nDyVaZNAXcP20I5q3ocUv_ImxQPXefMp-oW4RM8LuyOsmqglLFub0ep1UjhVakjy4aBCCpf7thHDpvvilGw==&amp;c=of4kdb2B9-90D2suv_zoDz_FtW4QXLsPUH6DQ1NSLgIGkEEfQG-xnA==&amp;ch=LvzXTdm8NxRpgW6z6f54Z-192O4l5b20biRiQcddaLqUjpZNzNp7MQ==" TargetMode="External"/><Relationship Id="rId11" Type="http://schemas.openxmlformats.org/officeDocument/2006/relationships/theme" Target="theme/theme1.xml"/><Relationship Id="rId5" Type="http://schemas.openxmlformats.org/officeDocument/2006/relationships/hyperlink" Target="mailto:Jamie.brunner@deq.idaho.gov"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amie.brunner@deq.idah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610</Words>
  <Characters>3480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Dunau</dc:creator>
  <cp:keywords/>
  <dc:description/>
  <cp:lastModifiedBy>Andy Dunau</cp:lastModifiedBy>
  <cp:revision>1</cp:revision>
  <dcterms:created xsi:type="dcterms:W3CDTF">2022-07-19T18:40:00Z</dcterms:created>
  <dcterms:modified xsi:type="dcterms:W3CDTF">2022-07-19T18:51:00Z</dcterms:modified>
</cp:coreProperties>
</file>