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C86A" w14:textId="36DF36B5" w:rsidR="00C40D56" w:rsidRPr="00B65216" w:rsidRDefault="00B65216" w:rsidP="00B65216">
      <w:pPr>
        <w:pStyle w:val="Title"/>
        <w:rPr>
          <w:rFonts w:asciiTheme="majorHAnsi" w:hAnsiTheme="majorHAnsi"/>
          <w:sz w:val="68"/>
          <w:szCs w:val="68"/>
        </w:rPr>
      </w:pPr>
      <w:bookmarkStart w:id="0" w:name="_GoBack"/>
      <w:bookmarkEnd w:id="0"/>
      <w:r w:rsidRPr="00B65216">
        <w:rPr>
          <w:rFonts w:asciiTheme="majorHAnsi" w:hAnsiTheme="majorHAnsi"/>
          <w:sz w:val="68"/>
          <w:szCs w:val="68"/>
        </w:rPr>
        <w:t>Federal COVID-19 Relief Bills</w:t>
      </w:r>
    </w:p>
    <w:p w14:paraId="5DAA8DAD" w14:textId="7A14AD52" w:rsidR="00B65216" w:rsidRPr="00B65216" w:rsidRDefault="00787190" w:rsidP="00B65216">
      <w:pPr>
        <w:rPr>
          <w:rFonts w:asciiTheme="majorHAnsi" w:hAnsiTheme="majorHAnsi"/>
        </w:rPr>
      </w:pPr>
      <w:r>
        <w:rPr>
          <w:rFonts w:asciiTheme="majorHAnsi" w:hAnsiTheme="majorHAnsi"/>
        </w:rPr>
        <w:t xml:space="preserve">In recent weeks, </w:t>
      </w:r>
      <w:r w:rsidR="00B65216">
        <w:rPr>
          <w:rFonts w:asciiTheme="majorHAnsi" w:hAnsiTheme="majorHAnsi"/>
        </w:rPr>
        <w:t xml:space="preserve">Congress passed three </w:t>
      </w:r>
      <w:r>
        <w:rPr>
          <w:rFonts w:asciiTheme="majorHAnsi" w:hAnsiTheme="majorHAnsi"/>
        </w:rPr>
        <w:t>bill</w:t>
      </w:r>
      <w:r w:rsidR="00DF1945">
        <w:rPr>
          <w:rFonts w:asciiTheme="majorHAnsi" w:hAnsiTheme="majorHAnsi"/>
        </w:rPr>
        <w:t>s</w:t>
      </w:r>
      <w:r>
        <w:rPr>
          <w:rFonts w:asciiTheme="majorHAnsi" w:hAnsiTheme="majorHAnsi"/>
        </w:rPr>
        <w:t xml:space="preserve"> </w:t>
      </w:r>
      <w:r w:rsidR="009906A9">
        <w:rPr>
          <w:rFonts w:asciiTheme="majorHAnsi" w:hAnsiTheme="majorHAnsi"/>
        </w:rPr>
        <w:t xml:space="preserve">to appropriate </w:t>
      </w:r>
      <w:r>
        <w:rPr>
          <w:rFonts w:asciiTheme="majorHAnsi" w:hAnsiTheme="majorHAnsi"/>
        </w:rPr>
        <w:t xml:space="preserve">supplemental </w:t>
      </w:r>
      <w:r w:rsidR="00DF1945">
        <w:rPr>
          <w:rFonts w:asciiTheme="majorHAnsi" w:hAnsiTheme="majorHAnsi"/>
        </w:rPr>
        <w:t xml:space="preserve">emergency </w:t>
      </w:r>
      <w:r>
        <w:rPr>
          <w:rFonts w:asciiTheme="majorHAnsi" w:hAnsiTheme="majorHAnsi"/>
        </w:rPr>
        <w:t>funding and</w:t>
      </w:r>
      <w:r w:rsidR="009906A9">
        <w:rPr>
          <w:rFonts w:asciiTheme="majorHAnsi" w:hAnsiTheme="majorHAnsi"/>
        </w:rPr>
        <w:t xml:space="preserve"> make</w:t>
      </w:r>
      <w:r>
        <w:rPr>
          <w:rFonts w:asciiTheme="majorHAnsi" w:hAnsiTheme="majorHAnsi"/>
        </w:rPr>
        <w:t xml:space="preserve"> </w:t>
      </w:r>
      <w:r w:rsidR="00DF1945">
        <w:rPr>
          <w:rFonts w:asciiTheme="majorHAnsi" w:hAnsiTheme="majorHAnsi"/>
        </w:rPr>
        <w:t xml:space="preserve">significant </w:t>
      </w:r>
      <w:r>
        <w:rPr>
          <w:rFonts w:asciiTheme="majorHAnsi" w:hAnsiTheme="majorHAnsi"/>
        </w:rPr>
        <w:t>policy changes to address the ongoing COVID-19 pandemic.</w:t>
      </w:r>
      <w:r w:rsidR="00DF1945">
        <w:rPr>
          <w:rFonts w:asciiTheme="majorHAnsi" w:hAnsiTheme="majorHAnsi"/>
        </w:rPr>
        <w:t xml:space="preserve"> The</w:t>
      </w:r>
      <w:r w:rsidR="002F19E1">
        <w:rPr>
          <w:rFonts w:asciiTheme="majorHAnsi" w:hAnsiTheme="majorHAnsi"/>
        </w:rPr>
        <w:t xml:space="preserve"> federal </w:t>
      </w:r>
      <w:r w:rsidR="00DF1945">
        <w:rPr>
          <w:rFonts w:asciiTheme="majorHAnsi" w:hAnsiTheme="majorHAnsi"/>
        </w:rPr>
        <w:t xml:space="preserve">measures include critically needed support for childcare, elementary and secondary, and postsecondary education, while also providing related support for children and families. This document provides a high-level summary of the first two bills, which were smaller in scope relative to the third bill, but only describes the third bill’s education provisions and other elements that might </w:t>
      </w:r>
      <w:r w:rsidR="00212FCC">
        <w:rPr>
          <w:rFonts w:asciiTheme="majorHAnsi" w:hAnsiTheme="majorHAnsi"/>
        </w:rPr>
        <w:t xml:space="preserve">be </w:t>
      </w:r>
      <w:r w:rsidR="00DF1945">
        <w:rPr>
          <w:rFonts w:asciiTheme="majorHAnsi" w:hAnsiTheme="majorHAnsi"/>
        </w:rPr>
        <w:t xml:space="preserve">of particular interest to education leaders. The information below is largely drawn from the materials provided by the Senate and House Appropriations Committees. We will update </w:t>
      </w:r>
      <w:r w:rsidR="00C526DE">
        <w:rPr>
          <w:rFonts w:asciiTheme="majorHAnsi" w:hAnsiTheme="majorHAnsi"/>
        </w:rPr>
        <w:t>you as</w:t>
      </w:r>
      <w:r w:rsidR="002F19E1">
        <w:rPr>
          <w:rFonts w:asciiTheme="majorHAnsi" w:hAnsiTheme="majorHAnsi"/>
        </w:rPr>
        <w:t xml:space="preserve"> needed, based on additional review of the</w:t>
      </w:r>
      <w:r w:rsidR="00DF1945">
        <w:rPr>
          <w:rFonts w:asciiTheme="majorHAnsi" w:hAnsiTheme="majorHAnsi"/>
        </w:rPr>
        <w:t xml:space="preserve"> third bill</w:t>
      </w:r>
      <w:r w:rsidR="002F19E1">
        <w:rPr>
          <w:rFonts w:asciiTheme="majorHAnsi" w:hAnsiTheme="majorHAnsi"/>
        </w:rPr>
        <w:t>’</w:t>
      </w:r>
      <w:r w:rsidR="00DF1945">
        <w:rPr>
          <w:rFonts w:asciiTheme="majorHAnsi" w:hAnsiTheme="majorHAnsi"/>
        </w:rPr>
        <w:t>s sweeping provisions</w:t>
      </w:r>
      <w:r w:rsidR="00151826">
        <w:rPr>
          <w:rFonts w:asciiTheme="majorHAnsi" w:hAnsiTheme="majorHAnsi"/>
        </w:rPr>
        <w:t xml:space="preserve">, additional </w:t>
      </w:r>
      <w:r w:rsidR="005D47BE">
        <w:rPr>
          <w:rFonts w:asciiTheme="majorHAnsi" w:hAnsiTheme="majorHAnsi"/>
        </w:rPr>
        <w:t xml:space="preserve">expected </w:t>
      </w:r>
      <w:r w:rsidR="00151826">
        <w:rPr>
          <w:rFonts w:asciiTheme="majorHAnsi" w:hAnsiTheme="majorHAnsi"/>
        </w:rPr>
        <w:t>Congressional actions,</w:t>
      </w:r>
      <w:r w:rsidR="00DF1945">
        <w:rPr>
          <w:rFonts w:asciiTheme="majorHAnsi" w:hAnsiTheme="majorHAnsi"/>
        </w:rPr>
        <w:t xml:space="preserve"> and</w:t>
      </w:r>
      <w:r w:rsidR="002F19E1">
        <w:rPr>
          <w:rFonts w:asciiTheme="majorHAnsi" w:hAnsiTheme="majorHAnsi"/>
        </w:rPr>
        <w:t xml:space="preserve"> following</w:t>
      </w:r>
      <w:r w:rsidR="00DF1945">
        <w:rPr>
          <w:rFonts w:asciiTheme="majorHAnsi" w:hAnsiTheme="majorHAnsi"/>
        </w:rPr>
        <w:t xml:space="preserve"> related </w:t>
      </w:r>
      <w:r w:rsidR="002F19E1">
        <w:rPr>
          <w:rFonts w:asciiTheme="majorHAnsi" w:hAnsiTheme="majorHAnsi"/>
        </w:rPr>
        <w:t xml:space="preserve">federal </w:t>
      </w:r>
      <w:r w:rsidR="00DF1945">
        <w:rPr>
          <w:rFonts w:asciiTheme="majorHAnsi" w:hAnsiTheme="majorHAnsi"/>
        </w:rPr>
        <w:t>agency implementation activities.</w:t>
      </w:r>
    </w:p>
    <w:p w14:paraId="00000002" w14:textId="6982E57B" w:rsidR="003602A0" w:rsidRPr="00C527AF" w:rsidRDefault="00D93EFD" w:rsidP="0028712E">
      <w:pPr>
        <w:pStyle w:val="Heading2"/>
        <w:rPr>
          <w:rFonts w:asciiTheme="majorHAnsi" w:hAnsiTheme="majorHAnsi"/>
        </w:rPr>
      </w:pPr>
      <w:r w:rsidRPr="00C527AF">
        <w:rPr>
          <w:rFonts w:asciiTheme="majorHAnsi" w:hAnsiTheme="majorHAnsi"/>
        </w:rPr>
        <w:t xml:space="preserve">First Emergency Bill: </w:t>
      </w:r>
      <w:r w:rsidR="00787190" w:rsidRPr="00C527AF">
        <w:rPr>
          <w:rFonts w:asciiTheme="majorHAnsi" w:hAnsiTheme="majorHAnsi"/>
        </w:rPr>
        <w:t>Coronavirus Preparedness and Response Supplemental Appropriations Act, 2020 (</w:t>
      </w:r>
      <w:hyperlink r:id="rId10">
        <w:r w:rsidR="00787190" w:rsidRPr="00C527AF">
          <w:rPr>
            <w:rFonts w:asciiTheme="majorHAnsi" w:hAnsiTheme="majorHAnsi"/>
          </w:rPr>
          <w:t>H.R. 6074</w:t>
        </w:r>
      </w:hyperlink>
      <w:r w:rsidR="00787190" w:rsidRPr="00C527AF">
        <w:rPr>
          <w:rFonts w:asciiTheme="majorHAnsi" w:hAnsiTheme="majorHAnsi"/>
        </w:rPr>
        <w:t>)</w:t>
      </w:r>
    </w:p>
    <w:p w14:paraId="48204826" w14:textId="77777777" w:rsidR="00D93EFD" w:rsidRPr="00B13E33" w:rsidRDefault="00D93EFD">
      <w:pPr>
        <w:rPr>
          <w:rFonts w:asciiTheme="majorHAnsi" w:hAnsiTheme="majorHAnsi"/>
          <w:sz w:val="20"/>
          <w:szCs w:val="20"/>
        </w:rPr>
      </w:pPr>
    </w:p>
    <w:p w14:paraId="4C5F826A" w14:textId="17F820BC" w:rsidR="00D93EFD" w:rsidRPr="00DF1945" w:rsidRDefault="00D93EFD">
      <w:pPr>
        <w:rPr>
          <w:rFonts w:asciiTheme="majorHAnsi" w:hAnsiTheme="majorHAnsi"/>
          <w:sz w:val="22"/>
          <w:szCs w:val="22"/>
        </w:rPr>
      </w:pPr>
      <w:r w:rsidRPr="00DF1945">
        <w:rPr>
          <w:rFonts w:asciiTheme="majorHAnsi" w:hAnsiTheme="majorHAnsi"/>
          <w:b/>
          <w:bCs/>
          <w:sz w:val="22"/>
          <w:szCs w:val="22"/>
        </w:rPr>
        <w:t>Became Law:</w:t>
      </w:r>
      <w:r w:rsidRPr="00DF1945">
        <w:rPr>
          <w:rFonts w:asciiTheme="majorHAnsi" w:hAnsiTheme="majorHAnsi"/>
          <w:sz w:val="22"/>
          <w:szCs w:val="22"/>
        </w:rPr>
        <w:t xml:space="preserve"> March 6, 2020 </w:t>
      </w:r>
    </w:p>
    <w:p w14:paraId="337A42B3" w14:textId="77777777" w:rsidR="00D93EFD" w:rsidRPr="00DF1945" w:rsidRDefault="00D93EFD">
      <w:pPr>
        <w:rPr>
          <w:rFonts w:asciiTheme="majorHAnsi" w:hAnsiTheme="majorHAnsi"/>
          <w:sz w:val="22"/>
          <w:szCs w:val="22"/>
        </w:rPr>
      </w:pPr>
    </w:p>
    <w:p w14:paraId="45E61AB2" w14:textId="2068CEB4" w:rsidR="00D93EFD" w:rsidRPr="00DF1945" w:rsidRDefault="00D93EFD">
      <w:pPr>
        <w:rPr>
          <w:rFonts w:asciiTheme="majorHAnsi" w:hAnsiTheme="majorHAnsi"/>
          <w:sz w:val="22"/>
          <w:szCs w:val="22"/>
        </w:rPr>
      </w:pPr>
      <w:r w:rsidRPr="00DF1945">
        <w:rPr>
          <w:rFonts w:asciiTheme="majorHAnsi" w:hAnsiTheme="majorHAnsi"/>
          <w:b/>
          <w:bCs/>
          <w:sz w:val="22"/>
          <w:szCs w:val="22"/>
        </w:rPr>
        <w:t>Total Funding:</w:t>
      </w:r>
      <w:r w:rsidRPr="00DF1945">
        <w:rPr>
          <w:rFonts w:asciiTheme="majorHAnsi" w:hAnsiTheme="majorHAnsi"/>
          <w:sz w:val="22"/>
          <w:szCs w:val="22"/>
        </w:rPr>
        <w:t xml:space="preserve"> $8.3 billion </w:t>
      </w:r>
    </w:p>
    <w:p w14:paraId="6FCE9CB7" w14:textId="645F03B3" w:rsidR="00D93EFD" w:rsidRPr="00DF1945" w:rsidRDefault="00D93EFD">
      <w:pPr>
        <w:rPr>
          <w:rFonts w:asciiTheme="majorHAnsi" w:hAnsiTheme="majorHAnsi"/>
          <w:sz w:val="22"/>
          <w:szCs w:val="22"/>
        </w:rPr>
      </w:pPr>
    </w:p>
    <w:p w14:paraId="047EAF9D" w14:textId="11D3B914" w:rsidR="00D93EFD" w:rsidRPr="00DF1945" w:rsidRDefault="00D93EFD">
      <w:pPr>
        <w:rPr>
          <w:rFonts w:asciiTheme="majorHAnsi" w:hAnsiTheme="majorHAnsi"/>
          <w:sz w:val="22"/>
          <w:szCs w:val="22"/>
        </w:rPr>
      </w:pPr>
      <w:r w:rsidRPr="00DF1945">
        <w:rPr>
          <w:rFonts w:asciiTheme="majorHAnsi" w:hAnsiTheme="majorHAnsi"/>
          <w:b/>
          <w:bCs/>
          <w:sz w:val="22"/>
          <w:szCs w:val="22"/>
        </w:rPr>
        <w:t>Focus:</w:t>
      </w:r>
      <w:r w:rsidRPr="00DF1945">
        <w:rPr>
          <w:rFonts w:asciiTheme="majorHAnsi" w:hAnsiTheme="majorHAnsi"/>
          <w:sz w:val="22"/>
          <w:szCs w:val="22"/>
        </w:rPr>
        <w:t xml:space="preserve"> </w:t>
      </w:r>
      <w:r w:rsidR="00054C37" w:rsidRPr="00DF1945">
        <w:rPr>
          <w:rFonts w:asciiTheme="majorHAnsi" w:hAnsiTheme="majorHAnsi"/>
          <w:sz w:val="22"/>
          <w:szCs w:val="22"/>
        </w:rPr>
        <w:t>The first emergency supplemental appropriation bill (</w:t>
      </w:r>
      <w:hyperlink r:id="rId11" w:history="1">
        <w:r w:rsidR="00054C37" w:rsidRPr="00DF1945">
          <w:rPr>
            <w:rStyle w:val="Hyperlink"/>
            <w:rFonts w:asciiTheme="majorHAnsi" w:hAnsiTheme="majorHAnsi"/>
            <w:sz w:val="22"/>
            <w:szCs w:val="22"/>
          </w:rPr>
          <w:t>H.R. 6074</w:t>
        </w:r>
      </w:hyperlink>
      <w:r w:rsidR="00054C37" w:rsidRPr="00DF1945">
        <w:rPr>
          <w:rFonts w:asciiTheme="majorHAnsi" w:hAnsiTheme="majorHAnsi"/>
          <w:sz w:val="22"/>
          <w:szCs w:val="22"/>
        </w:rPr>
        <w:t>) provided additional funding</w:t>
      </w:r>
      <w:r w:rsidRPr="00DF1945">
        <w:rPr>
          <w:rFonts w:asciiTheme="majorHAnsi" w:hAnsiTheme="majorHAnsi"/>
          <w:sz w:val="22"/>
          <w:szCs w:val="22"/>
        </w:rPr>
        <w:t xml:space="preserve"> for </w:t>
      </w:r>
      <w:r w:rsidR="004141D4" w:rsidRPr="00DF1945">
        <w:rPr>
          <w:rFonts w:asciiTheme="majorHAnsi" w:hAnsiTheme="majorHAnsi"/>
          <w:sz w:val="22"/>
          <w:szCs w:val="22"/>
        </w:rPr>
        <w:t xml:space="preserve">emergency health and medical supplies/equipment and other needs through the </w:t>
      </w:r>
      <w:r w:rsidRPr="00DF1945">
        <w:rPr>
          <w:rFonts w:asciiTheme="majorHAnsi" w:hAnsiTheme="majorHAnsi"/>
          <w:sz w:val="22"/>
          <w:szCs w:val="22"/>
        </w:rPr>
        <w:t>Food and Drug Administration</w:t>
      </w:r>
      <w:r w:rsidR="00054C37" w:rsidRPr="00DF1945">
        <w:rPr>
          <w:rFonts w:asciiTheme="majorHAnsi" w:hAnsiTheme="majorHAnsi"/>
          <w:sz w:val="22"/>
          <w:szCs w:val="22"/>
        </w:rPr>
        <w:t xml:space="preserve">; </w:t>
      </w:r>
      <w:r w:rsidRPr="00DF1945">
        <w:rPr>
          <w:rFonts w:asciiTheme="majorHAnsi" w:hAnsiTheme="majorHAnsi"/>
          <w:sz w:val="22"/>
          <w:szCs w:val="22"/>
        </w:rPr>
        <w:t>the Centers for Disease Control and Prevention, the National Institutes of Health, and the Public Health and Social Services Emergency Fund</w:t>
      </w:r>
      <w:r w:rsidR="00054C37" w:rsidRPr="00DF1945">
        <w:rPr>
          <w:rFonts w:asciiTheme="majorHAnsi" w:hAnsiTheme="majorHAnsi"/>
          <w:sz w:val="22"/>
          <w:szCs w:val="22"/>
        </w:rPr>
        <w:t>; the</w:t>
      </w:r>
      <w:r w:rsidRPr="00DF1945">
        <w:rPr>
          <w:rFonts w:asciiTheme="majorHAnsi" w:hAnsiTheme="majorHAnsi"/>
          <w:sz w:val="22"/>
          <w:szCs w:val="22"/>
        </w:rPr>
        <w:t xml:space="preserve"> Small Business Administration, the Department of State, and the U.S. Agency for International Development. The bill </w:t>
      </w:r>
      <w:r w:rsidR="00054C37" w:rsidRPr="00DF1945">
        <w:rPr>
          <w:rFonts w:asciiTheme="majorHAnsi" w:hAnsiTheme="majorHAnsi"/>
          <w:sz w:val="22"/>
          <w:szCs w:val="22"/>
        </w:rPr>
        <w:t>also included</w:t>
      </w:r>
      <w:r w:rsidRPr="00DF1945">
        <w:rPr>
          <w:rFonts w:asciiTheme="majorHAnsi" w:hAnsiTheme="majorHAnsi"/>
          <w:sz w:val="22"/>
          <w:szCs w:val="22"/>
        </w:rPr>
        <w:t xml:space="preserve"> temporary waivers or application modifications of certain Medicare requirements </w:t>
      </w:r>
      <w:r w:rsidR="00054C37" w:rsidRPr="00DF1945">
        <w:rPr>
          <w:rFonts w:asciiTheme="majorHAnsi" w:hAnsiTheme="majorHAnsi"/>
          <w:sz w:val="22"/>
          <w:szCs w:val="22"/>
        </w:rPr>
        <w:t>associated with</w:t>
      </w:r>
      <w:r w:rsidRPr="00DF1945">
        <w:rPr>
          <w:rFonts w:asciiTheme="majorHAnsi" w:hAnsiTheme="majorHAnsi"/>
          <w:sz w:val="22"/>
          <w:szCs w:val="22"/>
        </w:rPr>
        <w:t xml:space="preserve"> telehealth services.</w:t>
      </w:r>
    </w:p>
    <w:p w14:paraId="595C7703" w14:textId="4B4EA2FA" w:rsidR="00D93EFD" w:rsidRPr="00B13E33" w:rsidRDefault="00D93EFD">
      <w:pPr>
        <w:rPr>
          <w:rFonts w:asciiTheme="majorHAnsi" w:hAnsiTheme="majorHAnsi"/>
          <w:sz w:val="20"/>
          <w:szCs w:val="20"/>
        </w:rPr>
      </w:pPr>
    </w:p>
    <w:tbl>
      <w:tblPr>
        <w:tblStyle w:val="TableGrid"/>
        <w:tblW w:w="0" w:type="auto"/>
        <w:tblLook w:val="04A0" w:firstRow="1" w:lastRow="0" w:firstColumn="1" w:lastColumn="0" w:noHBand="0" w:noVBand="1"/>
      </w:tblPr>
      <w:tblGrid>
        <w:gridCol w:w="4675"/>
        <w:gridCol w:w="4675"/>
      </w:tblGrid>
      <w:tr w:rsidR="00D93EFD" w:rsidRPr="00B13E33" w14:paraId="2F4AE513" w14:textId="77777777" w:rsidTr="00D93EFD">
        <w:tc>
          <w:tcPr>
            <w:tcW w:w="4675" w:type="dxa"/>
          </w:tcPr>
          <w:p w14:paraId="3521C9FB" w14:textId="2FDA49BD" w:rsidR="00774ABB" w:rsidRPr="00774ABB" w:rsidRDefault="00774ABB" w:rsidP="00774ABB">
            <w:pPr>
              <w:pBdr>
                <w:top w:val="nil"/>
                <w:left w:val="nil"/>
                <w:bottom w:val="nil"/>
                <w:right w:val="nil"/>
                <w:between w:val="nil"/>
              </w:pBdr>
              <w:rPr>
                <w:rFonts w:asciiTheme="majorHAnsi" w:eastAsia="Calibri" w:hAnsiTheme="majorHAnsi" w:cs="Calibri"/>
                <w:b/>
                <w:bCs/>
                <w:sz w:val="20"/>
                <w:szCs w:val="20"/>
              </w:rPr>
            </w:pPr>
            <w:r w:rsidRPr="00774ABB">
              <w:rPr>
                <w:rFonts w:asciiTheme="majorHAnsi" w:eastAsia="Calibri" w:hAnsiTheme="majorHAnsi" w:cs="Calibri"/>
                <w:b/>
                <w:bCs/>
                <w:sz w:val="20"/>
                <w:szCs w:val="20"/>
              </w:rPr>
              <w:t xml:space="preserve">Food and Drug Administration </w:t>
            </w:r>
          </w:p>
          <w:p w14:paraId="1B9C11F7" w14:textId="74CE9B1E" w:rsidR="00774ABB" w:rsidRPr="00774ABB" w:rsidRDefault="00774ABB" w:rsidP="00774ABB">
            <w:pPr>
              <w:pStyle w:val="ListParagraph"/>
              <w:numPr>
                <w:ilvl w:val="0"/>
                <w:numId w:val="30"/>
              </w:numPr>
              <w:pBdr>
                <w:top w:val="nil"/>
                <w:left w:val="nil"/>
                <w:bottom w:val="nil"/>
                <w:right w:val="nil"/>
                <w:between w:val="nil"/>
              </w:pBdr>
              <w:rPr>
                <w:rFonts w:asciiTheme="majorHAnsi" w:eastAsia="Calibri" w:hAnsiTheme="majorHAnsi" w:cs="Calibri"/>
                <w:sz w:val="20"/>
                <w:szCs w:val="20"/>
              </w:rPr>
            </w:pPr>
            <w:r w:rsidRPr="00774ABB">
              <w:rPr>
                <w:rFonts w:asciiTheme="majorHAnsi" w:eastAsia="Calibri" w:hAnsiTheme="majorHAnsi" w:cs="Calibri"/>
                <w:sz w:val="20"/>
                <w:szCs w:val="20"/>
              </w:rPr>
              <w:t xml:space="preserve">$61 million to facilitate the development and review, both pre-market and post-market, of medical countermeasures, devices, therapies, and vaccines to combat the coronavirus. </w:t>
            </w:r>
          </w:p>
          <w:p w14:paraId="51B1BE36" w14:textId="77777777" w:rsidR="00D93EFD" w:rsidRPr="00B13E33" w:rsidRDefault="00D93EFD" w:rsidP="00774ABB">
            <w:pPr>
              <w:pBdr>
                <w:top w:val="nil"/>
                <w:left w:val="nil"/>
                <w:bottom w:val="nil"/>
                <w:right w:val="nil"/>
                <w:between w:val="nil"/>
              </w:pBdr>
              <w:ind w:left="720"/>
              <w:rPr>
                <w:rFonts w:asciiTheme="majorHAnsi" w:hAnsiTheme="majorHAnsi"/>
                <w:sz w:val="20"/>
                <w:szCs w:val="20"/>
              </w:rPr>
            </w:pPr>
          </w:p>
        </w:tc>
        <w:tc>
          <w:tcPr>
            <w:tcW w:w="4675" w:type="dxa"/>
          </w:tcPr>
          <w:p w14:paraId="2ACE9C57" w14:textId="77777777" w:rsidR="00774ABB" w:rsidRDefault="00774ABB" w:rsidP="00774ABB">
            <w:pPr>
              <w:pBdr>
                <w:top w:val="nil"/>
                <w:left w:val="nil"/>
                <w:bottom w:val="nil"/>
                <w:right w:val="nil"/>
                <w:between w:val="nil"/>
              </w:pBdr>
              <w:rPr>
                <w:rFonts w:asciiTheme="majorHAnsi" w:hAnsiTheme="majorHAnsi"/>
                <w:sz w:val="20"/>
                <w:szCs w:val="20"/>
              </w:rPr>
            </w:pPr>
            <w:r w:rsidRPr="00774ABB">
              <w:rPr>
                <w:rFonts w:asciiTheme="majorHAnsi" w:hAnsiTheme="majorHAnsi"/>
                <w:b/>
                <w:bCs/>
                <w:sz w:val="20"/>
                <w:szCs w:val="20"/>
              </w:rPr>
              <w:t>Centers for Disease Control and Prevention</w:t>
            </w:r>
            <w:r w:rsidRPr="00774ABB">
              <w:rPr>
                <w:rFonts w:asciiTheme="majorHAnsi" w:hAnsiTheme="majorHAnsi"/>
                <w:sz w:val="20"/>
                <w:szCs w:val="20"/>
              </w:rPr>
              <w:t xml:space="preserve"> </w:t>
            </w:r>
          </w:p>
          <w:p w14:paraId="0784BFD0" w14:textId="2A482DEC" w:rsidR="00774ABB" w:rsidRPr="00774ABB" w:rsidRDefault="00774ABB" w:rsidP="00774ABB">
            <w:pPr>
              <w:pStyle w:val="ListParagraph"/>
              <w:numPr>
                <w:ilvl w:val="0"/>
                <w:numId w:val="30"/>
              </w:numPr>
              <w:pBdr>
                <w:top w:val="nil"/>
                <w:left w:val="nil"/>
                <w:bottom w:val="nil"/>
                <w:right w:val="nil"/>
                <w:between w:val="nil"/>
              </w:pBdr>
              <w:rPr>
                <w:rFonts w:asciiTheme="majorHAnsi" w:hAnsiTheme="majorHAnsi"/>
                <w:sz w:val="20"/>
                <w:szCs w:val="20"/>
              </w:rPr>
            </w:pPr>
            <w:r w:rsidRPr="00774ABB">
              <w:rPr>
                <w:rFonts w:asciiTheme="majorHAnsi" w:hAnsiTheme="majorHAnsi"/>
                <w:sz w:val="20"/>
                <w:szCs w:val="20"/>
              </w:rPr>
              <w:t>$2.2 billion to support federal, state, and local public health agencies to prevent, prepare for, and respond to the coronavirus, including</w:t>
            </w:r>
            <w:r w:rsidR="00054C37">
              <w:rPr>
                <w:rFonts w:asciiTheme="majorHAnsi" w:hAnsiTheme="majorHAnsi"/>
                <w:sz w:val="20"/>
                <w:szCs w:val="20"/>
              </w:rPr>
              <w:t xml:space="preserve"> </w:t>
            </w:r>
            <w:r w:rsidRPr="00774ABB">
              <w:rPr>
                <w:rFonts w:asciiTheme="majorHAnsi" w:hAnsiTheme="majorHAnsi"/>
                <w:sz w:val="20"/>
                <w:szCs w:val="20"/>
              </w:rPr>
              <w:t xml:space="preserve">$950 million, of which $475 million must be allocated within 30 days, to support States, locals, territories, and tribes to conduct public health activities such as:  surveillance for coronavirus; laboratory testing to detect positive cases; contact tracing to identify additional positive cases; </w:t>
            </w:r>
            <w:r w:rsidR="00054C37">
              <w:rPr>
                <w:rFonts w:asciiTheme="majorHAnsi" w:hAnsiTheme="majorHAnsi"/>
                <w:sz w:val="20"/>
                <w:szCs w:val="20"/>
              </w:rPr>
              <w:t xml:space="preserve"> </w:t>
            </w:r>
            <w:r w:rsidRPr="00774ABB">
              <w:rPr>
                <w:rFonts w:asciiTheme="majorHAnsi" w:hAnsiTheme="majorHAnsi"/>
                <w:sz w:val="20"/>
                <w:szCs w:val="20"/>
              </w:rPr>
              <w:t xml:space="preserve">infection control at the local level to prevent additional cases; migration in areas with person-to-person transmission to prevent </w:t>
            </w:r>
            <w:r w:rsidRPr="00774ABB">
              <w:rPr>
                <w:rFonts w:asciiTheme="majorHAnsi" w:hAnsiTheme="majorHAnsi"/>
                <w:sz w:val="20"/>
                <w:szCs w:val="20"/>
              </w:rPr>
              <w:lastRenderedPageBreak/>
              <w:t xml:space="preserve">additional cases; and </w:t>
            </w:r>
            <w:r w:rsidR="00054C37">
              <w:rPr>
                <w:rFonts w:asciiTheme="majorHAnsi" w:hAnsiTheme="majorHAnsi"/>
                <w:sz w:val="20"/>
                <w:szCs w:val="20"/>
              </w:rPr>
              <w:t xml:space="preserve"> </w:t>
            </w:r>
            <w:r w:rsidRPr="00774ABB">
              <w:rPr>
                <w:rFonts w:asciiTheme="majorHAnsi" w:hAnsiTheme="majorHAnsi"/>
                <w:sz w:val="20"/>
                <w:szCs w:val="20"/>
              </w:rPr>
              <w:t>other public health preparedness and response activities</w:t>
            </w:r>
            <w:r>
              <w:rPr>
                <w:rFonts w:asciiTheme="majorHAnsi" w:hAnsiTheme="majorHAnsi"/>
                <w:sz w:val="20"/>
                <w:szCs w:val="20"/>
              </w:rPr>
              <w:t xml:space="preserve">; </w:t>
            </w:r>
            <w:r w:rsidRPr="00774ABB">
              <w:rPr>
                <w:rFonts w:asciiTheme="majorHAnsi" w:hAnsiTheme="majorHAnsi"/>
                <w:sz w:val="20"/>
                <w:szCs w:val="20"/>
              </w:rPr>
              <w:t>$300 million to replenish the Infectious Diseases Rapid Response Reserve Fund, which supports immediate response activities during outbreaks</w:t>
            </w:r>
            <w:r>
              <w:rPr>
                <w:rFonts w:asciiTheme="majorHAnsi" w:hAnsiTheme="majorHAnsi"/>
                <w:sz w:val="20"/>
                <w:szCs w:val="20"/>
              </w:rPr>
              <w:t xml:space="preserve">; </w:t>
            </w:r>
            <w:r w:rsidRPr="00774ABB">
              <w:rPr>
                <w:rFonts w:asciiTheme="majorHAnsi" w:hAnsiTheme="majorHAnsi"/>
                <w:sz w:val="20"/>
                <w:szCs w:val="20"/>
              </w:rPr>
              <w:t>At least $300 million for global disease detection and emergency response.</w:t>
            </w:r>
          </w:p>
          <w:p w14:paraId="2ADB0490" w14:textId="05AE9CF3" w:rsidR="00D93EFD" w:rsidRPr="00B13E33" w:rsidRDefault="00D93EFD" w:rsidP="00774ABB">
            <w:pPr>
              <w:pBdr>
                <w:top w:val="nil"/>
                <w:left w:val="nil"/>
                <w:bottom w:val="nil"/>
                <w:right w:val="nil"/>
                <w:between w:val="nil"/>
              </w:pBdr>
              <w:ind w:left="720"/>
              <w:rPr>
                <w:rFonts w:asciiTheme="majorHAnsi" w:hAnsiTheme="majorHAnsi"/>
                <w:sz w:val="20"/>
                <w:szCs w:val="20"/>
              </w:rPr>
            </w:pPr>
          </w:p>
        </w:tc>
      </w:tr>
      <w:tr w:rsidR="00774ABB" w:rsidRPr="00B13E33" w14:paraId="0B3A349A" w14:textId="77777777" w:rsidTr="00D93EFD">
        <w:tc>
          <w:tcPr>
            <w:tcW w:w="4675" w:type="dxa"/>
          </w:tcPr>
          <w:p w14:paraId="60476B68" w14:textId="2E167693" w:rsidR="00774ABB" w:rsidRDefault="00774ABB" w:rsidP="00774ABB">
            <w:pPr>
              <w:pBdr>
                <w:top w:val="nil"/>
                <w:left w:val="nil"/>
                <w:bottom w:val="nil"/>
                <w:right w:val="nil"/>
                <w:between w:val="nil"/>
              </w:pBdr>
              <w:rPr>
                <w:rFonts w:asciiTheme="majorHAnsi" w:eastAsia="Calibri" w:hAnsiTheme="majorHAnsi" w:cs="Calibri"/>
                <w:b/>
                <w:bCs/>
                <w:sz w:val="20"/>
                <w:szCs w:val="20"/>
              </w:rPr>
            </w:pPr>
            <w:r w:rsidRPr="00774ABB">
              <w:rPr>
                <w:rFonts w:asciiTheme="majorHAnsi" w:eastAsia="Calibri" w:hAnsiTheme="majorHAnsi" w:cs="Calibri"/>
                <w:b/>
                <w:bCs/>
                <w:sz w:val="20"/>
                <w:szCs w:val="20"/>
              </w:rPr>
              <w:lastRenderedPageBreak/>
              <w:t xml:space="preserve">Small Business Disaster Loans  </w:t>
            </w:r>
          </w:p>
          <w:p w14:paraId="7CF085E0" w14:textId="203D9C1D" w:rsidR="00774ABB" w:rsidRPr="00774ABB" w:rsidRDefault="00774ABB" w:rsidP="00774ABB">
            <w:pPr>
              <w:pStyle w:val="ListParagraph"/>
              <w:numPr>
                <w:ilvl w:val="0"/>
                <w:numId w:val="30"/>
              </w:numPr>
              <w:pBdr>
                <w:top w:val="nil"/>
                <w:left w:val="nil"/>
                <w:bottom w:val="nil"/>
                <w:right w:val="nil"/>
                <w:between w:val="nil"/>
              </w:pBdr>
              <w:rPr>
                <w:rFonts w:asciiTheme="majorHAnsi" w:eastAsia="Calibri" w:hAnsiTheme="majorHAnsi" w:cs="Calibri"/>
                <w:sz w:val="20"/>
                <w:szCs w:val="20"/>
              </w:rPr>
            </w:pPr>
            <w:r w:rsidRPr="00774ABB">
              <w:rPr>
                <w:rFonts w:asciiTheme="majorHAnsi" w:eastAsia="Calibri" w:hAnsiTheme="majorHAnsi" w:cs="Calibri"/>
                <w:sz w:val="20"/>
                <w:szCs w:val="20"/>
              </w:rPr>
              <w:t xml:space="preserve">$1 billion in loan subsidies to be made available to help small businesses, small agricultural cooperatives, small aquaculture producers, and nonprofit organizations which have been impacted by financial losses as a result of the coronavirus outbreak. </w:t>
            </w:r>
          </w:p>
          <w:p w14:paraId="17C8F61D" w14:textId="77777777" w:rsidR="00774ABB" w:rsidRPr="00774ABB" w:rsidRDefault="00774ABB" w:rsidP="00774ABB">
            <w:pPr>
              <w:pBdr>
                <w:top w:val="nil"/>
                <w:left w:val="nil"/>
                <w:bottom w:val="nil"/>
                <w:right w:val="nil"/>
                <w:between w:val="nil"/>
              </w:pBdr>
              <w:rPr>
                <w:rFonts w:asciiTheme="majorHAnsi" w:eastAsia="Calibri" w:hAnsiTheme="majorHAnsi" w:cs="Calibri"/>
                <w:b/>
                <w:bCs/>
                <w:sz w:val="20"/>
                <w:szCs w:val="20"/>
              </w:rPr>
            </w:pPr>
          </w:p>
        </w:tc>
        <w:tc>
          <w:tcPr>
            <w:tcW w:w="4675" w:type="dxa"/>
          </w:tcPr>
          <w:p w14:paraId="044BD5ED" w14:textId="769ACE7D" w:rsidR="00774ABB" w:rsidRDefault="00774ABB" w:rsidP="00774ABB">
            <w:pPr>
              <w:pBdr>
                <w:top w:val="nil"/>
                <w:left w:val="nil"/>
                <w:bottom w:val="nil"/>
                <w:right w:val="nil"/>
                <w:between w:val="nil"/>
              </w:pBdr>
              <w:rPr>
                <w:rFonts w:asciiTheme="majorHAnsi" w:hAnsiTheme="majorHAnsi"/>
                <w:sz w:val="20"/>
                <w:szCs w:val="20"/>
              </w:rPr>
            </w:pPr>
            <w:r w:rsidRPr="00774ABB">
              <w:rPr>
                <w:rFonts w:asciiTheme="majorHAnsi" w:hAnsiTheme="majorHAnsi"/>
                <w:b/>
                <w:bCs/>
                <w:sz w:val="20"/>
                <w:szCs w:val="20"/>
              </w:rPr>
              <w:t xml:space="preserve">Preparedness and response capabilities at the State and local level. Vaccines, Therapeutics, and Diagnostics </w:t>
            </w:r>
          </w:p>
          <w:p w14:paraId="50A996AE" w14:textId="311B6DB0" w:rsidR="00774ABB" w:rsidRPr="00774ABB" w:rsidRDefault="00774ABB" w:rsidP="00774ABB">
            <w:pPr>
              <w:pStyle w:val="ListParagraph"/>
              <w:numPr>
                <w:ilvl w:val="0"/>
                <w:numId w:val="30"/>
              </w:numPr>
              <w:pBdr>
                <w:top w:val="nil"/>
                <w:left w:val="nil"/>
                <w:bottom w:val="nil"/>
                <w:right w:val="nil"/>
                <w:between w:val="nil"/>
              </w:pBdr>
              <w:rPr>
                <w:rFonts w:asciiTheme="majorHAnsi" w:hAnsiTheme="majorHAnsi"/>
                <w:sz w:val="20"/>
                <w:szCs w:val="20"/>
              </w:rPr>
            </w:pPr>
            <w:r w:rsidRPr="00774ABB">
              <w:rPr>
                <w:rFonts w:asciiTheme="majorHAnsi" w:hAnsiTheme="majorHAnsi"/>
                <w:sz w:val="20"/>
                <w:szCs w:val="20"/>
              </w:rPr>
              <w:t xml:space="preserve">$3 billion for research and development of vaccines, therapeutics, and diagnostics to prevent or treat the effects of coronavirus, </w:t>
            </w:r>
          </w:p>
          <w:p w14:paraId="139661FF" w14:textId="77777777" w:rsidR="00774ABB" w:rsidRPr="00B13E33" w:rsidRDefault="00774ABB" w:rsidP="00774ABB">
            <w:pPr>
              <w:pBdr>
                <w:top w:val="nil"/>
                <w:left w:val="nil"/>
                <w:bottom w:val="nil"/>
                <w:right w:val="nil"/>
                <w:between w:val="nil"/>
              </w:pBdr>
              <w:ind w:left="720"/>
              <w:rPr>
                <w:rFonts w:asciiTheme="majorHAnsi" w:hAnsiTheme="majorHAnsi"/>
                <w:sz w:val="20"/>
                <w:szCs w:val="20"/>
              </w:rPr>
            </w:pPr>
          </w:p>
        </w:tc>
      </w:tr>
      <w:tr w:rsidR="00774ABB" w:rsidRPr="00B13E33" w14:paraId="3488AACB" w14:textId="77777777" w:rsidTr="00D93EFD">
        <w:tc>
          <w:tcPr>
            <w:tcW w:w="4675" w:type="dxa"/>
          </w:tcPr>
          <w:p w14:paraId="1291070F" w14:textId="2BF075F7" w:rsidR="00774ABB" w:rsidRDefault="00774ABB" w:rsidP="00774ABB">
            <w:pPr>
              <w:pBdr>
                <w:top w:val="nil"/>
                <w:left w:val="nil"/>
                <w:bottom w:val="nil"/>
                <w:right w:val="nil"/>
                <w:between w:val="nil"/>
              </w:pBdr>
              <w:rPr>
                <w:rFonts w:asciiTheme="majorHAnsi" w:eastAsia="Calibri" w:hAnsiTheme="majorHAnsi"/>
                <w:b/>
                <w:bCs/>
                <w:sz w:val="20"/>
                <w:szCs w:val="20"/>
              </w:rPr>
            </w:pPr>
            <w:r w:rsidRPr="00774ABB">
              <w:rPr>
                <w:rFonts w:asciiTheme="majorHAnsi" w:eastAsia="Calibri" w:hAnsiTheme="majorHAnsi"/>
                <w:b/>
                <w:bCs/>
                <w:sz w:val="20"/>
                <w:szCs w:val="20"/>
              </w:rPr>
              <w:t xml:space="preserve">Healthcare Preparedness, Pharmaceuticals and Medical Supplies, Community Health Centers  </w:t>
            </w:r>
          </w:p>
          <w:p w14:paraId="1EA7AFEE" w14:textId="60C88A36" w:rsidR="00774ABB" w:rsidRPr="00774ABB" w:rsidRDefault="00774ABB" w:rsidP="00774ABB">
            <w:pPr>
              <w:pStyle w:val="ListParagraph"/>
              <w:numPr>
                <w:ilvl w:val="0"/>
                <w:numId w:val="30"/>
              </w:numPr>
              <w:pBdr>
                <w:top w:val="nil"/>
                <w:left w:val="nil"/>
                <w:bottom w:val="nil"/>
                <w:right w:val="nil"/>
                <w:between w:val="nil"/>
              </w:pBdr>
              <w:rPr>
                <w:rFonts w:asciiTheme="majorHAnsi" w:eastAsia="Calibri" w:hAnsiTheme="majorHAnsi"/>
                <w:sz w:val="20"/>
                <w:szCs w:val="20"/>
              </w:rPr>
            </w:pPr>
            <w:r w:rsidRPr="00774ABB">
              <w:rPr>
                <w:rFonts w:asciiTheme="majorHAnsi" w:eastAsia="Calibri" w:hAnsiTheme="majorHAnsi"/>
                <w:sz w:val="20"/>
                <w:szCs w:val="20"/>
              </w:rPr>
              <w:t>Nearly $1 billion for procurement of pharmaceuticals and medical supplies, to support healthcare preparedness and Community Health Centers, and to improve medical surge capacity</w:t>
            </w:r>
          </w:p>
          <w:p w14:paraId="4A06095C" w14:textId="77777777" w:rsidR="00774ABB" w:rsidRPr="00774ABB" w:rsidRDefault="00774ABB" w:rsidP="00774ABB">
            <w:pPr>
              <w:pBdr>
                <w:top w:val="nil"/>
                <w:left w:val="nil"/>
                <w:bottom w:val="nil"/>
                <w:right w:val="nil"/>
                <w:between w:val="nil"/>
              </w:pBdr>
              <w:rPr>
                <w:rFonts w:asciiTheme="majorHAnsi" w:eastAsia="Calibri" w:hAnsiTheme="majorHAnsi" w:cs="Calibri"/>
                <w:b/>
                <w:bCs/>
                <w:sz w:val="20"/>
                <w:szCs w:val="20"/>
              </w:rPr>
            </w:pPr>
          </w:p>
        </w:tc>
        <w:tc>
          <w:tcPr>
            <w:tcW w:w="4675" w:type="dxa"/>
          </w:tcPr>
          <w:p w14:paraId="32E1E83B" w14:textId="482687F7" w:rsidR="00054C37" w:rsidRPr="00054C37" w:rsidRDefault="00054C37" w:rsidP="00774ABB">
            <w:pPr>
              <w:pBdr>
                <w:top w:val="nil"/>
                <w:left w:val="nil"/>
                <w:bottom w:val="nil"/>
                <w:right w:val="nil"/>
                <w:between w:val="nil"/>
              </w:pBdr>
              <w:rPr>
                <w:rFonts w:asciiTheme="majorHAnsi" w:hAnsiTheme="majorHAnsi"/>
                <w:b/>
                <w:bCs/>
                <w:sz w:val="20"/>
                <w:szCs w:val="20"/>
              </w:rPr>
            </w:pPr>
            <w:r w:rsidRPr="00054C37">
              <w:rPr>
                <w:rFonts w:asciiTheme="majorHAnsi" w:hAnsiTheme="majorHAnsi"/>
                <w:b/>
                <w:bCs/>
                <w:sz w:val="20"/>
                <w:szCs w:val="20"/>
              </w:rPr>
              <w:t>HHS Reimbursements</w:t>
            </w:r>
          </w:p>
          <w:p w14:paraId="59E9F7C0" w14:textId="64EE344A" w:rsidR="00774ABB" w:rsidRDefault="00774ABB" w:rsidP="00774ABB">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 xml:space="preserve">$136 million to programs across </w:t>
            </w:r>
            <w:r w:rsidR="00054C37">
              <w:rPr>
                <w:rFonts w:asciiTheme="majorHAnsi" w:hAnsiTheme="majorHAnsi"/>
                <w:sz w:val="20"/>
                <w:szCs w:val="20"/>
              </w:rPr>
              <w:t xml:space="preserve">HHS </w:t>
            </w:r>
            <w:r w:rsidRPr="00054C37">
              <w:rPr>
                <w:rFonts w:asciiTheme="majorHAnsi" w:hAnsiTheme="majorHAnsi"/>
                <w:sz w:val="20"/>
                <w:szCs w:val="20"/>
              </w:rPr>
              <w:t xml:space="preserve">that were temporarily transferred to support emergency preparedness and response activities at the CDC and the Assistant Secretary for Preparedness and Response. </w:t>
            </w:r>
          </w:p>
          <w:p w14:paraId="2158F29F" w14:textId="77777777" w:rsidR="00054C37" w:rsidRPr="00054C37" w:rsidRDefault="00054C37" w:rsidP="00054C37">
            <w:pPr>
              <w:pStyle w:val="ListParagraph"/>
              <w:pBdr>
                <w:top w:val="nil"/>
                <w:left w:val="nil"/>
                <w:bottom w:val="nil"/>
                <w:right w:val="nil"/>
                <w:between w:val="nil"/>
              </w:pBdr>
              <w:rPr>
                <w:rFonts w:asciiTheme="majorHAnsi" w:hAnsiTheme="majorHAnsi"/>
                <w:sz w:val="20"/>
                <w:szCs w:val="20"/>
              </w:rPr>
            </w:pPr>
          </w:p>
          <w:p w14:paraId="415954F9" w14:textId="77777777" w:rsidR="00774ABB" w:rsidRPr="00054C37" w:rsidRDefault="00774ABB" w:rsidP="00054C37">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 xml:space="preserve">$10 million for worker-based training through the National Institute of Environmental Health Sciences to prevent and reduce exposure of hospital employees, emergency first responders, and other workers who are at risk of exposure to coronavirus through their work duties. </w:t>
            </w:r>
          </w:p>
          <w:p w14:paraId="5E4C98EA" w14:textId="77777777" w:rsidR="00774ABB" w:rsidRDefault="00774ABB" w:rsidP="00774ABB">
            <w:pPr>
              <w:pBdr>
                <w:top w:val="nil"/>
                <w:left w:val="nil"/>
                <w:bottom w:val="nil"/>
                <w:right w:val="nil"/>
                <w:between w:val="nil"/>
              </w:pBdr>
              <w:rPr>
                <w:rFonts w:asciiTheme="majorHAnsi" w:hAnsiTheme="majorHAnsi"/>
                <w:sz w:val="20"/>
                <w:szCs w:val="20"/>
              </w:rPr>
            </w:pPr>
          </w:p>
          <w:p w14:paraId="54DBBE32" w14:textId="77777777" w:rsidR="00054C37" w:rsidRPr="00054C37" w:rsidRDefault="00774ABB" w:rsidP="00054C37">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 xml:space="preserve">$2 million for the HHS Office of Inspector General to conduct oversight of activities related to coronavirus preparedness and response. </w:t>
            </w:r>
          </w:p>
          <w:p w14:paraId="0D1C59BC" w14:textId="77777777" w:rsidR="00054C37" w:rsidRPr="00054C37" w:rsidRDefault="00054C37" w:rsidP="00054C37">
            <w:pPr>
              <w:pStyle w:val="ListParagraph"/>
              <w:rPr>
                <w:rFonts w:asciiTheme="majorHAnsi" w:hAnsiTheme="majorHAnsi"/>
                <w:sz w:val="20"/>
                <w:szCs w:val="20"/>
              </w:rPr>
            </w:pPr>
          </w:p>
          <w:p w14:paraId="1704F72B" w14:textId="1C571C0C" w:rsidR="00774ABB" w:rsidRPr="00054C37" w:rsidRDefault="00774ABB" w:rsidP="00054C37">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Authority for HHS to hire public health experts, as expeditiously as necessary, to perform critical work relating to coronavirus.</w:t>
            </w:r>
          </w:p>
          <w:p w14:paraId="64A1F6DF" w14:textId="77777777" w:rsidR="00774ABB" w:rsidRPr="00774ABB" w:rsidRDefault="00774ABB" w:rsidP="00774ABB">
            <w:pPr>
              <w:pBdr>
                <w:top w:val="nil"/>
                <w:left w:val="nil"/>
                <w:bottom w:val="nil"/>
                <w:right w:val="nil"/>
                <w:between w:val="nil"/>
              </w:pBdr>
              <w:rPr>
                <w:rFonts w:asciiTheme="majorHAnsi" w:hAnsiTheme="majorHAnsi"/>
                <w:sz w:val="20"/>
                <w:szCs w:val="20"/>
              </w:rPr>
            </w:pPr>
          </w:p>
        </w:tc>
      </w:tr>
      <w:tr w:rsidR="00774ABB" w:rsidRPr="00B13E33" w14:paraId="52556399" w14:textId="77777777" w:rsidTr="00D93EFD">
        <w:tc>
          <w:tcPr>
            <w:tcW w:w="4675" w:type="dxa"/>
          </w:tcPr>
          <w:p w14:paraId="2001AA27" w14:textId="77777777" w:rsidR="00774ABB" w:rsidRDefault="00774ABB" w:rsidP="00774ABB">
            <w:pPr>
              <w:rPr>
                <w:rFonts w:asciiTheme="majorHAnsi" w:hAnsiTheme="majorHAnsi"/>
                <w:sz w:val="20"/>
                <w:szCs w:val="20"/>
              </w:rPr>
            </w:pPr>
            <w:r w:rsidRPr="00774ABB">
              <w:rPr>
                <w:rFonts w:asciiTheme="majorHAnsi" w:hAnsiTheme="majorHAnsi"/>
                <w:b/>
                <w:bCs/>
                <w:sz w:val="20"/>
                <w:szCs w:val="20"/>
              </w:rPr>
              <w:t>State Operations</w:t>
            </w:r>
            <w:r w:rsidRPr="00774ABB">
              <w:rPr>
                <w:rFonts w:asciiTheme="majorHAnsi" w:hAnsiTheme="majorHAnsi"/>
                <w:sz w:val="20"/>
                <w:szCs w:val="20"/>
              </w:rPr>
              <w:t xml:space="preserve"> </w:t>
            </w:r>
          </w:p>
          <w:p w14:paraId="4C663180" w14:textId="77777777" w:rsidR="00054C37" w:rsidRDefault="00774ABB"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$264 million for consular operations, emergency evacuations of State Department staff and dependents, and other emergency preparedness needs at embassies around the world.</w:t>
            </w:r>
          </w:p>
          <w:p w14:paraId="54244B53" w14:textId="6C607B47" w:rsidR="00774ABB" w:rsidRDefault="00774ABB" w:rsidP="00054C37">
            <w:pPr>
              <w:pStyle w:val="ListParagraph"/>
              <w:rPr>
                <w:rFonts w:asciiTheme="majorHAnsi" w:hAnsiTheme="majorHAnsi"/>
                <w:sz w:val="20"/>
                <w:szCs w:val="20"/>
              </w:rPr>
            </w:pPr>
            <w:r w:rsidRPr="00774ABB">
              <w:rPr>
                <w:rFonts w:asciiTheme="majorHAnsi" w:hAnsiTheme="majorHAnsi"/>
                <w:sz w:val="20"/>
                <w:szCs w:val="20"/>
              </w:rPr>
              <w:t xml:space="preserve"> </w:t>
            </w:r>
          </w:p>
          <w:p w14:paraId="040AF5FA" w14:textId="372CB8E1" w:rsidR="00774ABB" w:rsidRDefault="00054C37"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$10 million to $100 million</w:t>
            </w:r>
            <w:r>
              <w:rPr>
                <w:rFonts w:asciiTheme="majorHAnsi" w:hAnsiTheme="majorHAnsi"/>
                <w:sz w:val="20"/>
                <w:szCs w:val="20"/>
              </w:rPr>
              <w:t xml:space="preserve"> for i</w:t>
            </w:r>
            <w:r w:rsidR="00774ABB" w:rsidRPr="00774ABB">
              <w:rPr>
                <w:rFonts w:asciiTheme="majorHAnsi" w:hAnsiTheme="majorHAnsi"/>
                <w:sz w:val="20"/>
                <w:szCs w:val="20"/>
              </w:rPr>
              <w:t>ncreas</w:t>
            </w:r>
            <w:r>
              <w:rPr>
                <w:rFonts w:asciiTheme="majorHAnsi" w:hAnsiTheme="majorHAnsi"/>
                <w:sz w:val="20"/>
                <w:szCs w:val="20"/>
              </w:rPr>
              <w:t>ing</w:t>
            </w:r>
            <w:r w:rsidR="00774ABB" w:rsidRPr="00774ABB">
              <w:rPr>
                <w:rFonts w:asciiTheme="majorHAnsi" w:hAnsiTheme="majorHAnsi"/>
                <w:sz w:val="20"/>
                <w:szCs w:val="20"/>
              </w:rPr>
              <w:t xml:space="preserve"> transfer threshold for emergency evacuations</w:t>
            </w:r>
            <w:r>
              <w:rPr>
                <w:rFonts w:asciiTheme="majorHAnsi" w:hAnsiTheme="majorHAnsi"/>
                <w:sz w:val="20"/>
                <w:szCs w:val="20"/>
              </w:rPr>
              <w:t>.</w:t>
            </w:r>
          </w:p>
          <w:p w14:paraId="5FCA9BF0" w14:textId="77777777" w:rsidR="00054C37" w:rsidRPr="00054C37" w:rsidRDefault="00054C37" w:rsidP="00054C37">
            <w:pPr>
              <w:rPr>
                <w:rFonts w:asciiTheme="majorHAnsi" w:hAnsiTheme="majorHAnsi"/>
                <w:sz w:val="20"/>
                <w:szCs w:val="20"/>
              </w:rPr>
            </w:pPr>
          </w:p>
          <w:p w14:paraId="492BF1C3" w14:textId="77777777" w:rsidR="00054C37" w:rsidRDefault="00774ABB"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lastRenderedPageBreak/>
              <w:t>Global Health Response – $435 million to support health systems overseas to prevent, prepare and respond to the coronavirus, of which $200 million is for the Emergency Reserve Fund.</w:t>
            </w:r>
          </w:p>
          <w:p w14:paraId="2D150201" w14:textId="36D29F09" w:rsidR="00774ABB" w:rsidRPr="00054C37" w:rsidRDefault="00774ABB" w:rsidP="00054C37">
            <w:pPr>
              <w:rPr>
                <w:rFonts w:asciiTheme="majorHAnsi" w:hAnsiTheme="majorHAnsi"/>
                <w:sz w:val="20"/>
                <w:szCs w:val="20"/>
              </w:rPr>
            </w:pPr>
            <w:r w:rsidRPr="00054C37">
              <w:rPr>
                <w:rFonts w:asciiTheme="majorHAnsi" w:hAnsiTheme="majorHAnsi"/>
                <w:sz w:val="20"/>
                <w:szCs w:val="20"/>
              </w:rPr>
              <w:t xml:space="preserve"> </w:t>
            </w:r>
          </w:p>
          <w:p w14:paraId="3D73A1F8" w14:textId="26620BCE" w:rsidR="00054C37" w:rsidRDefault="00054C37"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 xml:space="preserve">$300 million </w:t>
            </w:r>
            <w:r>
              <w:rPr>
                <w:rFonts w:asciiTheme="majorHAnsi" w:hAnsiTheme="majorHAnsi"/>
                <w:sz w:val="20"/>
                <w:szCs w:val="20"/>
              </w:rPr>
              <w:t>for H</w:t>
            </w:r>
            <w:r w:rsidR="00774ABB" w:rsidRPr="00774ABB">
              <w:rPr>
                <w:rFonts w:asciiTheme="majorHAnsi" w:hAnsiTheme="majorHAnsi"/>
                <w:sz w:val="20"/>
                <w:szCs w:val="20"/>
              </w:rPr>
              <w:t>umanitarian Assistance to respond to needs arising in countries coping with a coronavirus disease outbreak.</w:t>
            </w:r>
          </w:p>
          <w:p w14:paraId="42CECE2D" w14:textId="4E80C789" w:rsidR="00774ABB" w:rsidRPr="00054C37" w:rsidRDefault="00774ABB" w:rsidP="00054C37">
            <w:pPr>
              <w:rPr>
                <w:rFonts w:asciiTheme="majorHAnsi" w:hAnsiTheme="majorHAnsi"/>
                <w:sz w:val="20"/>
                <w:szCs w:val="20"/>
              </w:rPr>
            </w:pPr>
            <w:r w:rsidRPr="00054C37">
              <w:rPr>
                <w:rFonts w:asciiTheme="majorHAnsi" w:hAnsiTheme="majorHAnsi"/>
                <w:sz w:val="20"/>
                <w:szCs w:val="20"/>
              </w:rPr>
              <w:t xml:space="preserve"> </w:t>
            </w:r>
          </w:p>
          <w:p w14:paraId="2E604C4B" w14:textId="72AC44F3" w:rsidR="00054C37" w:rsidRDefault="00054C37" w:rsidP="00774ABB">
            <w:pPr>
              <w:pStyle w:val="ListParagraph"/>
              <w:numPr>
                <w:ilvl w:val="0"/>
                <w:numId w:val="30"/>
              </w:numPr>
              <w:rPr>
                <w:rFonts w:asciiTheme="majorHAnsi" w:hAnsiTheme="majorHAnsi"/>
                <w:sz w:val="20"/>
                <w:szCs w:val="20"/>
              </w:rPr>
            </w:pPr>
            <w:r>
              <w:rPr>
                <w:rFonts w:asciiTheme="majorHAnsi" w:hAnsiTheme="majorHAnsi"/>
                <w:sz w:val="20"/>
                <w:szCs w:val="20"/>
              </w:rPr>
              <w:t xml:space="preserve">$250 million for </w:t>
            </w:r>
            <w:r w:rsidR="00774ABB" w:rsidRPr="00774ABB">
              <w:rPr>
                <w:rFonts w:asciiTheme="majorHAnsi" w:hAnsiTheme="majorHAnsi"/>
                <w:sz w:val="20"/>
                <w:szCs w:val="20"/>
              </w:rPr>
              <w:t>Economic and Security Stabilization to protect against the effects of an outbreak including economic, security, and stabilization requirements</w:t>
            </w:r>
          </w:p>
          <w:p w14:paraId="2C4C6F3A" w14:textId="3C8751F7" w:rsidR="00774ABB" w:rsidRPr="00054C37" w:rsidRDefault="00774ABB" w:rsidP="00054C37">
            <w:pPr>
              <w:rPr>
                <w:rFonts w:asciiTheme="majorHAnsi" w:hAnsiTheme="majorHAnsi"/>
                <w:sz w:val="20"/>
                <w:szCs w:val="20"/>
              </w:rPr>
            </w:pPr>
            <w:r w:rsidRPr="00054C37">
              <w:rPr>
                <w:rFonts w:asciiTheme="majorHAnsi" w:hAnsiTheme="majorHAnsi"/>
                <w:sz w:val="20"/>
                <w:szCs w:val="20"/>
              </w:rPr>
              <w:t xml:space="preserve"> </w:t>
            </w:r>
          </w:p>
          <w:p w14:paraId="7167A524" w14:textId="7C7509EE" w:rsidR="00774ABB" w:rsidRPr="00C40D56" w:rsidRDefault="00054C37" w:rsidP="00C40D56">
            <w:pPr>
              <w:pStyle w:val="ListParagraph"/>
              <w:numPr>
                <w:ilvl w:val="0"/>
                <w:numId w:val="30"/>
              </w:numPr>
              <w:rPr>
                <w:rFonts w:asciiTheme="majorHAnsi" w:hAnsiTheme="majorHAnsi"/>
                <w:sz w:val="20"/>
                <w:szCs w:val="20"/>
              </w:rPr>
            </w:pPr>
            <w:r>
              <w:rPr>
                <w:rFonts w:asciiTheme="majorHAnsi" w:hAnsiTheme="majorHAnsi"/>
                <w:sz w:val="20"/>
                <w:szCs w:val="20"/>
              </w:rPr>
              <w:t>$1 million for oversight</w:t>
            </w:r>
            <w:r w:rsidR="00E3753C">
              <w:rPr>
                <w:rFonts w:asciiTheme="majorHAnsi" w:hAnsiTheme="majorHAnsi"/>
                <w:sz w:val="20"/>
                <w:szCs w:val="20"/>
              </w:rPr>
              <w:t xml:space="preserve"> of State emergency accounts</w:t>
            </w:r>
            <w:r>
              <w:rPr>
                <w:rFonts w:asciiTheme="majorHAnsi" w:hAnsiTheme="majorHAnsi"/>
                <w:sz w:val="20"/>
                <w:szCs w:val="20"/>
              </w:rPr>
              <w:t>.</w:t>
            </w:r>
          </w:p>
        </w:tc>
        <w:tc>
          <w:tcPr>
            <w:tcW w:w="4675" w:type="dxa"/>
          </w:tcPr>
          <w:p w14:paraId="77A70CD1" w14:textId="77777777" w:rsidR="00774ABB" w:rsidRDefault="00774ABB" w:rsidP="00774ABB">
            <w:pPr>
              <w:rPr>
                <w:rFonts w:asciiTheme="majorHAnsi" w:hAnsiTheme="majorHAnsi"/>
                <w:sz w:val="20"/>
                <w:szCs w:val="20"/>
              </w:rPr>
            </w:pPr>
            <w:r w:rsidRPr="00774ABB">
              <w:rPr>
                <w:rFonts w:asciiTheme="majorHAnsi" w:hAnsiTheme="majorHAnsi"/>
                <w:b/>
                <w:bCs/>
                <w:sz w:val="20"/>
                <w:szCs w:val="20"/>
              </w:rPr>
              <w:lastRenderedPageBreak/>
              <w:t>Emergency Telehealth Waiver:</w:t>
            </w:r>
            <w:r w:rsidRPr="00774ABB">
              <w:rPr>
                <w:rFonts w:asciiTheme="majorHAnsi" w:hAnsiTheme="majorHAnsi"/>
                <w:sz w:val="20"/>
                <w:szCs w:val="20"/>
              </w:rPr>
              <w:t xml:space="preserve"> </w:t>
            </w:r>
          </w:p>
          <w:p w14:paraId="62E9857E" w14:textId="080F4DF6" w:rsidR="00774ABB" w:rsidRPr="00774ABB" w:rsidRDefault="00774ABB" w:rsidP="00774ABB">
            <w:pPr>
              <w:pStyle w:val="ListParagraph"/>
              <w:numPr>
                <w:ilvl w:val="0"/>
                <w:numId w:val="31"/>
              </w:numPr>
              <w:rPr>
                <w:rFonts w:asciiTheme="majorHAnsi" w:hAnsiTheme="majorHAnsi"/>
                <w:sz w:val="20"/>
                <w:szCs w:val="20"/>
              </w:rPr>
            </w:pPr>
            <w:r w:rsidRPr="00774ABB">
              <w:rPr>
                <w:rFonts w:asciiTheme="majorHAnsi" w:hAnsiTheme="majorHAnsi"/>
                <w:sz w:val="20"/>
                <w:szCs w:val="20"/>
              </w:rPr>
              <w:t xml:space="preserve">Allows the Secretary of Health and Human Services to waive certain Medicare telehealth restrictions during the coronavirus public health emergency. </w:t>
            </w:r>
          </w:p>
          <w:p w14:paraId="30373E14" w14:textId="77777777" w:rsidR="00774ABB" w:rsidRPr="00774ABB" w:rsidRDefault="00774ABB" w:rsidP="00774ABB">
            <w:pPr>
              <w:pBdr>
                <w:top w:val="nil"/>
                <w:left w:val="nil"/>
                <w:bottom w:val="nil"/>
                <w:right w:val="nil"/>
                <w:between w:val="nil"/>
              </w:pBdr>
              <w:rPr>
                <w:rFonts w:asciiTheme="majorHAnsi" w:hAnsiTheme="majorHAnsi"/>
                <w:sz w:val="20"/>
                <w:szCs w:val="20"/>
              </w:rPr>
            </w:pPr>
          </w:p>
        </w:tc>
      </w:tr>
    </w:tbl>
    <w:p w14:paraId="0000001F" w14:textId="07713B00" w:rsidR="003602A0" w:rsidRPr="00C527AF" w:rsidRDefault="00D93EFD" w:rsidP="0028712E">
      <w:pPr>
        <w:pStyle w:val="Heading2"/>
        <w:rPr>
          <w:rFonts w:asciiTheme="majorHAnsi" w:hAnsiTheme="majorHAnsi"/>
        </w:rPr>
      </w:pPr>
      <w:r w:rsidRPr="00C527AF">
        <w:rPr>
          <w:rFonts w:asciiTheme="majorHAnsi" w:hAnsiTheme="majorHAnsi"/>
        </w:rPr>
        <w:t xml:space="preserve">Second Emergency Bill: </w:t>
      </w:r>
      <w:r w:rsidR="00787190" w:rsidRPr="00C527AF">
        <w:rPr>
          <w:rFonts w:asciiTheme="majorHAnsi" w:hAnsiTheme="majorHAnsi"/>
        </w:rPr>
        <w:t>Families First Coronavirus Response Act (</w:t>
      </w:r>
      <w:hyperlink r:id="rId12">
        <w:r w:rsidR="00787190" w:rsidRPr="00C527AF">
          <w:rPr>
            <w:rFonts w:asciiTheme="majorHAnsi" w:hAnsiTheme="majorHAnsi"/>
          </w:rPr>
          <w:t>H.R. 6201</w:t>
        </w:r>
      </w:hyperlink>
      <w:r w:rsidR="00787190" w:rsidRPr="00C527AF">
        <w:rPr>
          <w:rFonts w:asciiTheme="majorHAnsi" w:hAnsiTheme="majorHAnsi"/>
        </w:rPr>
        <w:t>)</w:t>
      </w:r>
    </w:p>
    <w:p w14:paraId="076C25FA" w14:textId="5AF98D35" w:rsidR="00D93EFD" w:rsidRPr="002F19E1" w:rsidRDefault="00D93EFD">
      <w:pPr>
        <w:rPr>
          <w:rFonts w:asciiTheme="majorHAnsi" w:hAnsiTheme="majorHAnsi"/>
          <w:b/>
          <w:sz w:val="22"/>
          <w:szCs w:val="22"/>
          <w:u w:val="single"/>
        </w:rPr>
      </w:pPr>
    </w:p>
    <w:p w14:paraId="0FCDDC99" w14:textId="21B0A9D3" w:rsidR="00D93EFD" w:rsidRPr="002F19E1" w:rsidRDefault="00D93EFD" w:rsidP="00D93EFD">
      <w:pPr>
        <w:rPr>
          <w:rFonts w:asciiTheme="majorHAnsi" w:hAnsiTheme="majorHAnsi"/>
          <w:sz w:val="22"/>
          <w:szCs w:val="22"/>
        </w:rPr>
      </w:pPr>
      <w:r w:rsidRPr="002F19E1">
        <w:rPr>
          <w:rFonts w:asciiTheme="majorHAnsi" w:hAnsiTheme="majorHAnsi"/>
          <w:b/>
          <w:bCs/>
          <w:sz w:val="22"/>
          <w:szCs w:val="22"/>
        </w:rPr>
        <w:t>Became Law:</w:t>
      </w:r>
      <w:r w:rsidRPr="002F19E1">
        <w:rPr>
          <w:rFonts w:asciiTheme="majorHAnsi" w:hAnsiTheme="majorHAnsi"/>
          <w:sz w:val="22"/>
          <w:szCs w:val="22"/>
        </w:rPr>
        <w:t xml:space="preserve"> March 18, 2020 </w:t>
      </w:r>
    </w:p>
    <w:p w14:paraId="679491B4" w14:textId="77777777" w:rsidR="00D93EFD" w:rsidRPr="002F19E1" w:rsidRDefault="00D93EFD" w:rsidP="00D93EFD">
      <w:pPr>
        <w:rPr>
          <w:rFonts w:asciiTheme="majorHAnsi" w:hAnsiTheme="majorHAnsi"/>
          <w:sz w:val="22"/>
          <w:szCs w:val="22"/>
        </w:rPr>
      </w:pPr>
    </w:p>
    <w:p w14:paraId="49A6821A" w14:textId="5B8F2E10" w:rsidR="00D93EFD" w:rsidRPr="002F19E1" w:rsidRDefault="00D93EFD" w:rsidP="00D93EFD">
      <w:pPr>
        <w:rPr>
          <w:rFonts w:asciiTheme="majorHAnsi" w:hAnsiTheme="majorHAnsi"/>
          <w:sz w:val="22"/>
          <w:szCs w:val="22"/>
        </w:rPr>
      </w:pPr>
      <w:r w:rsidRPr="002F19E1">
        <w:rPr>
          <w:rFonts w:asciiTheme="majorHAnsi" w:hAnsiTheme="majorHAnsi"/>
          <w:b/>
          <w:bCs/>
          <w:sz w:val="22"/>
          <w:szCs w:val="22"/>
        </w:rPr>
        <w:t>Total Funding:</w:t>
      </w:r>
      <w:r w:rsidRPr="002F19E1">
        <w:rPr>
          <w:rFonts w:asciiTheme="majorHAnsi" w:hAnsiTheme="majorHAnsi"/>
          <w:sz w:val="22"/>
          <w:szCs w:val="22"/>
        </w:rPr>
        <w:t xml:space="preserve"> </w:t>
      </w:r>
      <w:r w:rsidR="001352EF" w:rsidRPr="002F19E1">
        <w:rPr>
          <w:rFonts w:asciiTheme="majorHAnsi" w:hAnsiTheme="majorHAnsi"/>
          <w:sz w:val="22"/>
          <w:szCs w:val="22"/>
        </w:rPr>
        <w:t>Estimated $3.5-$4 billion</w:t>
      </w:r>
      <w:r w:rsidR="00CE5F41" w:rsidRPr="002F19E1">
        <w:rPr>
          <w:rFonts w:asciiTheme="majorHAnsi" w:hAnsiTheme="majorHAnsi"/>
          <w:sz w:val="22"/>
          <w:szCs w:val="22"/>
        </w:rPr>
        <w:t xml:space="preserve"> in appropriations, plus costs of tax credits and other measures that will depend on total claims. </w:t>
      </w:r>
      <w:r w:rsidR="001352EF" w:rsidRPr="002F19E1">
        <w:rPr>
          <w:rFonts w:asciiTheme="majorHAnsi" w:hAnsiTheme="majorHAnsi"/>
          <w:sz w:val="22"/>
          <w:szCs w:val="22"/>
        </w:rPr>
        <w:t xml:space="preserve"> </w:t>
      </w:r>
    </w:p>
    <w:p w14:paraId="32AB1C98" w14:textId="77777777" w:rsidR="00D93EFD" w:rsidRPr="002F19E1" w:rsidRDefault="00D93EFD">
      <w:pPr>
        <w:rPr>
          <w:rFonts w:asciiTheme="majorHAnsi" w:hAnsiTheme="majorHAnsi"/>
          <w:b/>
          <w:sz w:val="22"/>
          <w:szCs w:val="22"/>
          <w:u w:val="single"/>
        </w:rPr>
      </w:pPr>
    </w:p>
    <w:p w14:paraId="2796B8A7" w14:textId="6C6242F3" w:rsidR="00774ABB" w:rsidRPr="002F19E1" w:rsidRDefault="00F41139" w:rsidP="00774ABB">
      <w:pPr>
        <w:rPr>
          <w:rFonts w:asciiTheme="majorHAnsi" w:hAnsiTheme="majorHAnsi"/>
          <w:sz w:val="22"/>
          <w:szCs w:val="22"/>
        </w:rPr>
      </w:pPr>
      <w:r w:rsidRPr="002F19E1">
        <w:rPr>
          <w:rFonts w:asciiTheme="majorHAnsi" w:hAnsiTheme="majorHAnsi"/>
          <w:b/>
          <w:bCs/>
          <w:sz w:val="22"/>
          <w:szCs w:val="22"/>
        </w:rPr>
        <w:t>Focus:</w:t>
      </w:r>
      <w:r w:rsidRPr="002F19E1">
        <w:rPr>
          <w:rFonts w:asciiTheme="majorHAnsi" w:hAnsiTheme="majorHAnsi"/>
          <w:sz w:val="22"/>
          <w:szCs w:val="22"/>
        </w:rPr>
        <w:t xml:space="preserve"> </w:t>
      </w:r>
      <w:r w:rsidR="00774ABB" w:rsidRPr="002F19E1">
        <w:rPr>
          <w:rFonts w:asciiTheme="majorHAnsi" w:hAnsiTheme="majorHAnsi"/>
          <w:sz w:val="22"/>
          <w:szCs w:val="22"/>
        </w:rPr>
        <w:t>The</w:t>
      </w:r>
      <w:r w:rsidR="004141D4" w:rsidRPr="002F19E1">
        <w:rPr>
          <w:rFonts w:asciiTheme="majorHAnsi" w:hAnsiTheme="majorHAnsi"/>
          <w:sz w:val="22"/>
          <w:szCs w:val="22"/>
        </w:rPr>
        <w:t xml:space="preserve"> second emergency response bill (</w:t>
      </w:r>
      <w:hyperlink r:id="rId13" w:history="1">
        <w:r w:rsidR="004141D4" w:rsidRPr="002F19E1">
          <w:rPr>
            <w:rStyle w:val="Hyperlink"/>
            <w:rFonts w:asciiTheme="majorHAnsi" w:hAnsiTheme="majorHAnsi"/>
            <w:sz w:val="22"/>
            <w:szCs w:val="22"/>
          </w:rPr>
          <w:t>H.R.6201</w:t>
        </w:r>
      </w:hyperlink>
      <w:r w:rsidR="004141D4" w:rsidRPr="002F19E1">
        <w:rPr>
          <w:rFonts w:asciiTheme="majorHAnsi" w:hAnsiTheme="majorHAnsi"/>
          <w:sz w:val="22"/>
          <w:szCs w:val="22"/>
        </w:rPr>
        <w:t>) largely focu</w:t>
      </w:r>
      <w:r w:rsidR="001352EF" w:rsidRPr="002F19E1">
        <w:rPr>
          <w:rFonts w:asciiTheme="majorHAnsi" w:hAnsiTheme="majorHAnsi"/>
          <w:sz w:val="22"/>
          <w:szCs w:val="22"/>
        </w:rPr>
        <w:t>ses on</w:t>
      </w:r>
      <w:r w:rsidR="004141D4" w:rsidRPr="002F19E1">
        <w:rPr>
          <w:rFonts w:asciiTheme="majorHAnsi" w:hAnsiTheme="majorHAnsi"/>
          <w:sz w:val="22"/>
          <w:szCs w:val="22"/>
        </w:rPr>
        <w:t xml:space="preserve"> public health, nutrition, and emergency leave. </w:t>
      </w:r>
      <w:r w:rsidR="001352EF" w:rsidRPr="002F19E1">
        <w:rPr>
          <w:rFonts w:asciiTheme="majorHAnsi" w:hAnsiTheme="majorHAnsi"/>
          <w:sz w:val="22"/>
          <w:szCs w:val="22"/>
        </w:rPr>
        <w:t xml:space="preserve">The measure </w:t>
      </w:r>
      <w:r w:rsidR="00774ABB" w:rsidRPr="002F19E1">
        <w:rPr>
          <w:rFonts w:asciiTheme="majorHAnsi" w:hAnsiTheme="majorHAnsi"/>
          <w:sz w:val="22"/>
          <w:szCs w:val="22"/>
        </w:rPr>
        <w:t xml:space="preserve">guarantees free coronavirus testing, establishes </w:t>
      </w:r>
      <w:r w:rsidR="001352EF" w:rsidRPr="002F19E1">
        <w:rPr>
          <w:rFonts w:asciiTheme="majorHAnsi" w:hAnsiTheme="majorHAnsi"/>
          <w:sz w:val="22"/>
          <w:szCs w:val="22"/>
        </w:rPr>
        <w:t xml:space="preserve">new </w:t>
      </w:r>
      <w:r w:rsidR="00774ABB" w:rsidRPr="002F19E1">
        <w:rPr>
          <w:rFonts w:asciiTheme="majorHAnsi" w:hAnsiTheme="majorHAnsi"/>
          <w:sz w:val="22"/>
          <w:szCs w:val="22"/>
        </w:rPr>
        <w:t>paid leave</w:t>
      </w:r>
      <w:r w:rsidR="001352EF" w:rsidRPr="002F19E1">
        <w:rPr>
          <w:rFonts w:asciiTheme="majorHAnsi" w:hAnsiTheme="majorHAnsi"/>
          <w:sz w:val="22"/>
          <w:szCs w:val="22"/>
        </w:rPr>
        <w:t xml:space="preserve"> requirements</w:t>
      </w:r>
      <w:r w:rsidR="00774ABB" w:rsidRPr="002F19E1">
        <w:rPr>
          <w:rFonts w:asciiTheme="majorHAnsi" w:hAnsiTheme="majorHAnsi"/>
          <w:sz w:val="22"/>
          <w:szCs w:val="22"/>
        </w:rPr>
        <w:t>, enhances Unemployment Insurance, expands food security initiatives, and increases federal Medicaid funding.</w:t>
      </w:r>
      <w:r w:rsidR="004141D4" w:rsidRPr="002F19E1">
        <w:rPr>
          <w:rFonts w:asciiTheme="majorHAnsi" w:hAnsiTheme="majorHAnsi"/>
          <w:sz w:val="22"/>
          <w:szCs w:val="22"/>
        </w:rPr>
        <w:t xml:space="preserve"> </w:t>
      </w:r>
    </w:p>
    <w:p w14:paraId="00000020" w14:textId="7C9D50AC" w:rsidR="003602A0" w:rsidRPr="00B13E33" w:rsidRDefault="003602A0">
      <w:pPr>
        <w:rPr>
          <w:rFonts w:asciiTheme="majorHAnsi" w:hAnsiTheme="majorHAnsi"/>
          <w:sz w:val="20"/>
          <w:szCs w:val="20"/>
        </w:rPr>
      </w:pPr>
    </w:p>
    <w:p w14:paraId="5E94E06F" w14:textId="1072E203" w:rsidR="00B44810" w:rsidRPr="00B13E33" w:rsidRDefault="00B44810">
      <w:pPr>
        <w:rPr>
          <w:rFonts w:asciiTheme="majorHAnsi" w:hAnsiTheme="majorHAnsi"/>
          <w:sz w:val="20"/>
          <w:szCs w:val="20"/>
        </w:rPr>
      </w:pPr>
    </w:p>
    <w:tbl>
      <w:tblPr>
        <w:tblStyle w:val="TableGrid"/>
        <w:tblW w:w="0" w:type="auto"/>
        <w:tblLook w:val="04A0" w:firstRow="1" w:lastRow="0" w:firstColumn="1" w:lastColumn="0" w:noHBand="0" w:noVBand="1"/>
      </w:tblPr>
      <w:tblGrid>
        <w:gridCol w:w="4675"/>
        <w:gridCol w:w="4675"/>
      </w:tblGrid>
      <w:tr w:rsidR="00B44810" w:rsidRPr="00B13E33" w14:paraId="2FDD6853" w14:textId="77777777" w:rsidTr="00B44810">
        <w:tc>
          <w:tcPr>
            <w:tcW w:w="4675" w:type="dxa"/>
          </w:tcPr>
          <w:p w14:paraId="5A53326B" w14:textId="77777777" w:rsidR="00B44810" w:rsidRPr="00B13E33" w:rsidRDefault="00B44810" w:rsidP="00B44810">
            <w:pPr>
              <w:rPr>
                <w:rFonts w:asciiTheme="majorHAnsi" w:hAnsiTheme="majorHAnsi"/>
                <w:b/>
                <w:sz w:val="20"/>
                <w:szCs w:val="20"/>
              </w:rPr>
            </w:pPr>
            <w:r w:rsidRPr="00B13E33">
              <w:rPr>
                <w:rFonts w:asciiTheme="majorHAnsi" w:hAnsiTheme="majorHAnsi"/>
                <w:b/>
                <w:sz w:val="20"/>
                <w:szCs w:val="20"/>
              </w:rPr>
              <w:t xml:space="preserve">Food Assistance </w:t>
            </w:r>
          </w:p>
          <w:p w14:paraId="44C20837" w14:textId="77777777" w:rsidR="00B44810" w:rsidRPr="00B13E33" w:rsidRDefault="00B44810" w:rsidP="00B44810">
            <w:pPr>
              <w:numPr>
                <w:ilvl w:val="0"/>
                <w:numId w:val="3"/>
              </w:numPr>
              <w:rPr>
                <w:rFonts w:asciiTheme="majorHAnsi" w:hAnsiTheme="majorHAnsi"/>
                <w:sz w:val="20"/>
                <w:szCs w:val="20"/>
              </w:rPr>
            </w:pPr>
            <w:r w:rsidRPr="00B13E33">
              <w:rPr>
                <w:rFonts w:asciiTheme="majorHAnsi" w:hAnsiTheme="majorHAnsi"/>
                <w:sz w:val="20"/>
                <w:szCs w:val="20"/>
              </w:rPr>
              <w:t xml:space="preserve">This bill provides for funding, totaling more than $1 billion, for the Special Supplemental Nutrition Program for Women, Infants, and Children (WIC), emergency food assistance programs, and nutrition assistance grants for US territories. </w:t>
            </w:r>
          </w:p>
          <w:p w14:paraId="62C1FB8C" w14:textId="77777777" w:rsidR="00B44810" w:rsidRPr="00B13E33" w:rsidRDefault="00B44810" w:rsidP="00B44810">
            <w:pPr>
              <w:numPr>
                <w:ilvl w:val="0"/>
                <w:numId w:val="3"/>
              </w:numPr>
              <w:rPr>
                <w:rFonts w:asciiTheme="majorHAnsi" w:hAnsiTheme="majorHAnsi"/>
                <w:sz w:val="20"/>
                <w:szCs w:val="20"/>
              </w:rPr>
            </w:pPr>
            <w:r w:rsidRPr="00B13E33">
              <w:rPr>
                <w:rFonts w:asciiTheme="majorHAnsi" w:hAnsiTheme="majorHAnsi"/>
                <w:sz w:val="20"/>
                <w:szCs w:val="20"/>
              </w:rPr>
              <w:t xml:space="preserve">General provisions define a public health emergency and specify that in any case in which a school is closed for at least 5 consecutive days during a public health emergency designation, each household containing at least 1 member who is an eligible child attending the school is eligible to receive assistance under the Food and Nutrition Act of 2008. The Secretary of Agriculture is authorized to approve State </w:t>
            </w:r>
            <w:r w:rsidRPr="00B13E33">
              <w:rPr>
                <w:rFonts w:asciiTheme="majorHAnsi" w:hAnsiTheme="majorHAnsi"/>
                <w:sz w:val="20"/>
                <w:szCs w:val="20"/>
              </w:rPr>
              <w:lastRenderedPageBreak/>
              <w:t>agency plans for temporary emergency standards of eligibility and levels of benefits under the Food and Nutrition Act. In order to carry out these sections, State educational agencies and school food authorities administering school lunch programs under the Richard B. Russell National School Lunch Act may release any information that may be necessary to appropriate officials administering these programs.</w:t>
            </w:r>
          </w:p>
          <w:p w14:paraId="46DC1455" w14:textId="77777777" w:rsidR="00B44810" w:rsidRPr="00B13E33" w:rsidRDefault="00B44810" w:rsidP="00B44810">
            <w:pPr>
              <w:numPr>
                <w:ilvl w:val="0"/>
                <w:numId w:val="3"/>
              </w:numPr>
              <w:rPr>
                <w:rFonts w:asciiTheme="majorHAnsi" w:hAnsiTheme="majorHAnsi"/>
                <w:sz w:val="20"/>
                <w:szCs w:val="20"/>
              </w:rPr>
            </w:pPr>
            <w:r w:rsidRPr="00B13E33">
              <w:rPr>
                <w:rFonts w:asciiTheme="majorHAnsi" w:hAnsiTheme="majorHAnsi"/>
                <w:sz w:val="20"/>
                <w:szCs w:val="20"/>
              </w:rPr>
              <w:t>Funding is provided for Senior Nutrition Programs to provide additional meals to low-income seniors.</w:t>
            </w:r>
          </w:p>
          <w:p w14:paraId="3CF2AF38" w14:textId="77777777" w:rsidR="00B44810" w:rsidRPr="00B13E33" w:rsidRDefault="00B44810">
            <w:pPr>
              <w:rPr>
                <w:rFonts w:asciiTheme="majorHAnsi" w:hAnsiTheme="majorHAnsi"/>
                <w:sz w:val="20"/>
                <w:szCs w:val="20"/>
              </w:rPr>
            </w:pPr>
          </w:p>
        </w:tc>
        <w:tc>
          <w:tcPr>
            <w:tcW w:w="4675" w:type="dxa"/>
          </w:tcPr>
          <w:p w14:paraId="3DEC79A8" w14:textId="77777777" w:rsidR="00B44810" w:rsidRPr="00B13E33" w:rsidRDefault="00B44810" w:rsidP="00B44810">
            <w:pPr>
              <w:rPr>
                <w:rFonts w:asciiTheme="majorHAnsi" w:hAnsiTheme="majorHAnsi"/>
                <w:b/>
                <w:sz w:val="20"/>
                <w:szCs w:val="20"/>
              </w:rPr>
            </w:pPr>
            <w:r w:rsidRPr="00B13E33">
              <w:rPr>
                <w:rFonts w:asciiTheme="majorHAnsi" w:hAnsiTheme="majorHAnsi"/>
                <w:b/>
                <w:sz w:val="20"/>
                <w:szCs w:val="20"/>
              </w:rPr>
              <w:lastRenderedPageBreak/>
              <w:t>Nutrition Waivers</w:t>
            </w:r>
          </w:p>
          <w:p w14:paraId="3403F308" w14:textId="77777777" w:rsidR="00B44810" w:rsidRPr="00B13E33" w:rsidRDefault="00B44810" w:rsidP="00B44810">
            <w:pPr>
              <w:numPr>
                <w:ilvl w:val="0"/>
                <w:numId w:val="1"/>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i/>
                <w:color w:val="000000"/>
                <w:sz w:val="20"/>
                <w:szCs w:val="20"/>
              </w:rPr>
              <w:t xml:space="preserve">Maintaining Essential Access to Lunch for Students Act: </w:t>
            </w:r>
            <w:r w:rsidRPr="00B13E33">
              <w:rPr>
                <w:rFonts w:asciiTheme="majorHAnsi" w:eastAsia="Calibri" w:hAnsiTheme="majorHAnsi" w:cs="Calibri"/>
                <w:color w:val="000000"/>
                <w:sz w:val="20"/>
                <w:szCs w:val="20"/>
              </w:rPr>
              <w:t>This section of the bill addresses COVID-19 waivers under the Richard B. Russell National School Lunch Act in order to provide meals and meal supplements during a school closure due to COVID-19.</w:t>
            </w:r>
            <w:r w:rsidRPr="00B13E33">
              <w:rPr>
                <w:rFonts w:asciiTheme="majorHAnsi" w:eastAsia="Calibri" w:hAnsiTheme="majorHAnsi" w:cs="Calibri"/>
                <w:i/>
                <w:color w:val="000000"/>
                <w:sz w:val="20"/>
                <w:szCs w:val="20"/>
              </w:rPr>
              <w:t xml:space="preserve"> </w:t>
            </w:r>
            <w:r w:rsidRPr="00B13E33">
              <w:rPr>
                <w:rFonts w:asciiTheme="majorHAnsi" w:eastAsia="Calibri" w:hAnsiTheme="majorHAnsi" w:cs="Calibri"/>
                <w:color w:val="000000"/>
                <w:sz w:val="20"/>
                <w:szCs w:val="20"/>
              </w:rPr>
              <w:t xml:space="preserve">More specifically: </w:t>
            </w:r>
          </w:p>
          <w:p w14:paraId="168F3AF2" w14:textId="77777777" w:rsidR="00B44810" w:rsidRPr="00B13E33" w:rsidRDefault="00B44810" w:rsidP="00B44810">
            <w:pPr>
              <w:numPr>
                <w:ilvl w:val="1"/>
                <w:numId w:val="6"/>
              </w:numPr>
              <w:pBdr>
                <w:top w:val="nil"/>
                <w:left w:val="nil"/>
                <w:bottom w:val="nil"/>
                <w:right w:val="nil"/>
                <w:between w:val="nil"/>
              </w:pBdr>
              <w:rPr>
                <w:rFonts w:asciiTheme="majorHAnsi" w:hAnsiTheme="majorHAnsi"/>
                <w:color w:val="000000"/>
                <w:sz w:val="20"/>
                <w:szCs w:val="20"/>
              </w:rPr>
            </w:pPr>
            <w:r w:rsidRPr="00B13E33">
              <w:rPr>
                <w:rFonts w:asciiTheme="majorHAnsi" w:eastAsia="Calibri" w:hAnsiTheme="majorHAnsi" w:cs="Calibri"/>
                <w:color w:val="000000"/>
                <w:sz w:val="20"/>
                <w:szCs w:val="20"/>
              </w:rPr>
              <w:t xml:space="preserve">Section 12(I)(1)(A)(iii) of the Richard B. Russell National School Lunch Act (waiver so long as it does not increase the overall cost of the program to the Federal Government) shall not apply to a qualified COVID-19 waiver; and there is an allowable increase in federal costs, due to COVID-19. </w:t>
            </w:r>
          </w:p>
          <w:p w14:paraId="0FD522DE" w14:textId="77777777" w:rsidR="00B44810" w:rsidRPr="00B13E33" w:rsidRDefault="00B44810" w:rsidP="00B44810">
            <w:pPr>
              <w:numPr>
                <w:ilvl w:val="1"/>
                <w:numId w:val="6"/>
              </w:numPr>
              <w:pBdr>
                <w:top w:val="nil"/>
                <w:left w:val="nil"/>
                <w:bottom w:val="nil"/>
                <w:right w:val="nil"/>
                <w:between w:val="nil"/>
              </w:pBdr>
              <w:rPr>
                <w:rFonts w:asciiTheme="majorHAnsi" w:hAnsiTheme="majorHAnsi"/>
                <w:color w:val="000000"/>
                <w:sz w:val="20"/>
                <w:szCs w:val="20"/>
              </w:rPr>
            </w:pPr>
            <w:r w:rsidRPr="00B13E33">
              <w:rPr>
                <w:rFonts w:asciiTheme="majorHAnsi" w:eastAsia="Calibri" w:hAnsiTheme="majorHAnsi" w:cs="Calibri"/>
                <w:color w:val="000000"/>
                <w:sz w:val="20"/>
                <w:szCs w:val="20"/>
              </w:rPr>
              <w:lastRenderedPageBreak/>
              <w:t>Further, the requirements under section 12(l)(5) (termination of waivers) shall not apply to a qualified COVID-19 waiver.</w:t>
            </w:r>
          </w:p>
          <w:p w14:paraId="7EA76707" w14:textId="77777777" w:rsidR="00B44810" w:rsidRPr="00B13E33" w:rsidRDefault="00B44810" w:rsidP="00B44810">
            <w:pPr>
              <w:rPr>
                <w:rFonts w:asciiTheme="majorHAnsi" w:hAnsiTheme="majorHAnsi"/>
                <w:i/>
                <w:sz w:val="20"/>
                <w:szCs w:val="20"/>
              </w:rPr>
            </w:pPr>
          </w:p>
          <w:p w14:paraId="77286336" w14:textId="77777777" w:rsidR="00B44810" w:rsidRPr="00B13E33" w:rsidRDefault="00B44810" w:rsidP="00B44810">
            <w:pPr>
              <w:numPr>
                <w:ilvl w:val="0"/>
                <w:numId w:val="1"/>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i/>
                <w:color w:val="000000"/>
                <w:sz w:val="20"/>
                <w:szCs w:val="20"/>
              </w:rPr>
              <w:t xml:space="preserve">COVID-19 Child Nutrition Response: </w:t>
            </w:r>
            <w:r w:rsidRPr="00B13E33">
              <w:rPr>
                <w:rFonts w:asciiTheme="majorHAnsi" w:eastAsia="Calibri" w:hAnsiTheme="majorHAnsi" w:cs="Calibri"/>
                <w:color w:val="000000"/>
                <w:sz w:val="20"/>
                <w:szCs w:val="20"/>
              </w:rPr>
              <w:t>The Child Nutrition Response Act provides for waivers for national school lunch program requirements and waivers under WIC.</w:t>
            </w:r>
            <w:r w:rsidRPr="00B13E33">
              <w:rPr>
                <w:rFonts w:asciiTheme="majorHAnsi" w:eastAsia="Calibri" w:hAnsiTheme="majorHAnsi" w:cs="Calibri"/>
                <w:i/>
                <w:color w:val="000000"/>
                <w:sz w:val="20"/>
                <w:szCs w:val="20"/>
              </w:rPr>
              <w:t xml:space="preserve"> </w:t>
            </w:r>
            <w:r w:rsidRPr="00B13E33">
              <w:rPr>
                <w:rFonts w:asciiTheme="majorHAnsi" w:eastAsia="Calibri" w:hAnsiTheme="majorHAnsi" w:cs="Calibri"/>
                <w:color w:val="000000"/>
                <w:sz w:val="20"/>
                <w:szCs w:val="20"/>
              </w:rPr>
              <w:t xml:space="preserve">These </w:t>
            </w:r>
            <w:r w:rsidRPr="00B13E33">
              <w:rPr>
                <w:rFonts w:asciiTheme="majorHAnsi" w:hAnsiTheme="majorHAnsi"/>
                <w:sz w:val="20"/>
                <w:szCs w:val="20"/>
              </w:rPr>
              <w:t>waivers</w:t>
            </w:r>
            <w:r w:rsidRPr="00B13E33">
              <w:rPr>
                <w:rFonts w:asciiTheme="majorHAnsi" w:eastAsia="Calibri" w:hAnsiTheme="majorHAnsi" w:cs="Calibri"/>
                <w:color w:val="000000"/>
                <w:sz w:val="20"/>
                <w:szCs w:val="20"/>
              </w:rPr>
              <w:t xml:space="preserve"> will </w:t>
            </w:r>
            <w:r w:rsidRPr="00B13E33">
              <w:rPr>
                <w:rFonts w:asciiTheme="majorHAnsi" w:hAnsiTheme="majorHAnsi"/>
                <w:sz w:val="20"/>
                <w:szCs w:val="20"/>
              </w:rPr>
              <w:t xml:space="preserve">eliminate paperwork for states to and allow schools to adopt and utilize flexibilities quickly in order to respond to this pandemic. </w:t>
            </w:r>
            <w:r w:rsidRPr="00B13E33">
              <w:rPr>
                <w:rFonts w:asciiTheme="majorHAnsi" w:eastAsia="Calibri" w:hAnsiTheme="majorHAnsi" w:cs="Calibri"/>
                <w:color w:val="000000"/>
                <w:sz w:val="20"/>
                <w:szCs w:val="20"/>
              </w:rPr>
              <w:t>This provi</w:t>
            </w:r>
            <w:r w:rsidRPr="00B13E33">
              <w:rPr>
                <w:rFonts w:asciiTheme="majorHAnsi" w:hAnsiTheme="majorHAnsi"/>
                <w:sz w:val="20"/>
                <w:szCs w:val="20"/>
              </w:rPr>
              <w:t xml:space="preserve">des for a </w:t>
            </w:r>
            <w:r w:rsidRPr="00B13E33">
              <w:rPr>
                <w:rFonts w:asciiTheme="majorHAnsi" w:eastAsia="Calibri" w:hAnsiTheme="majorHAnsi" w:cs="Calibri"/>
                <w:color w:val="000000"/>
                <w:sz w:val="20"/>
                <w:szCs w:val="20"/>
              </w:rPr>
              <w:t xml:space="preserve">nationwide waiver </w:t>
            </w:r>
            <w:r w:rsidRPr="00B13E33">
              <w:rPr>
                <w:rFonts w:asciiTheme="majorHAnsi" w:hAnsiTheme="majorHAnsi"/>
                <w:sz w:val="20"/>
                <w:szCs w:val="20"/>
              </w:rPr>
              <w:t>under the national school lunch program</w:t>
            </w:r>
            <w:r w:rsidRPr="00B13E33">
              <w:rPr>
                <w:rFonts w:asciiTheme="majorHAnsi" w:eastAsia="Calibri" w:hAnsiTheme="majorHAnsi" w:cs="Calibri"/>
                <w:color w:val="000000"/>
                <w:sz w:val="20"/>
                <w:szCs w:val="20"/>
              </w:rPr>
              <w:t xml:space="preserve"> which will allow states to provide meals and supplements under a qualified program, with appropriate safety measures. Child and Adult Care Food Program waivers are allowed for non-congregate feeding under a child and adult care food program, as well as meal pattern waivers that relate to the nutritional content of meals served. Any state that receives these waivers must provide the Secretary a summary of the use of the waivers within 1 year.</w:t>
            </w:r>
          </w:p>
          <w:p w14:paraId="63730F91" w14:textId="77777777" w:rsidR="00B44810" w:rsidRPr="00B13E33" w:rsidRDefault="00B44810" w:rsidP="00B44810">
            <w:pPr>
              <w:rPr>
                <w:rFonts w:asciiTheme="majorHAnsi" w:hAnsiTheme="majorHAnsi"/>
                <w:sz w:val="20"/>
                <w:szCs w:val="20"/>
              </w:rPr>
            </w:pPr>
          </w:p>
          <w:p w14:paraId="50291EBE" w14:textId="77777777" w:rsidR="00B44810" w:rsidRPr="00B13E33" w:rsidRDefault="00B44810" w:rsidP="00B44810">
            <w:pPr>
              <w:numPr>
                <w:ilvl w:val="0"/>
                <w:numId w:val="1"/>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i/>
                <w:color w:val="000000"/>
                <w:sz w:val="20"/>
                <w:szCs w:val="20"/>
              </w:rPr>
              <w:t>SNAP Waivers</w:t>
            </w:r>
            <w:r w:rsidRPr="00B13E33">
              <w:rPr>
                <w:rFonts w:asciiTheme="majorHAnsi" w:eastAsia="Calibri" w:hAnsiTheme="majorHAnsi" w:cs="Calibri"/>
                <w:color w:val="000000"/>
                <w:sz w:val="20"/>
                <w:szCs w:val="20"/>
              </w:rPr>
              <w:t xml:space="preserve">: Until the public health emergency declaration is lifted, eligibility for supplemental nutrition assistance program benefits will not be limited, except in situations where an individual does not comply with the requirements of a program offered by the State agency. Further additional SNAP flexibilities will be provided during public health emergencies, including suspension of work and training requirements for SNAP </w:t>
            </w:r>
            <w:r w:rsidRPr="00B13E33">
              <w:rPr>
                <w:rFonts w:asciiTheme="majorHAnsi" w:hAnsiTheme="majorHAnsi"/>
                <w:sz w:val="20"/>
                <w:szCs w:val="20"/>
              </w:rPr>
              <w:t>benefits</w:t>
            </w:r>
            <w:r w:rsidRPr="00B13E33">
              <w:rPr>
                <w:rFonts w:asciiTheme="majorHAnsi" w:eastAsia="Calibri" w:hAnsiTheme="majorHAnsi" w:cs="Calibri"/>
                <w:color w:val="000000"/>
                <w:sz w:val="20"/>
                <w:szCs w:val="20"/>
              </w:rPr>
              <w:t xml:space="preserve"> during the pandemic.</w:t>
            </w:r>
          </w:p>
          <w:p w14:paraId="4538D202" w14:textId="77777777" w:rsidR="00B44810" w:rsidRPr="00B13E33" w:rsidRDefault="00B44810">
            <w:pPr>
              <w:rPr>
                <w:rFonts w:asciiTheme="majorHAnsi" w:hAnsiTheme="majorHAnsi"/>
                <w:sz w:val="20"/>
                <w:szCs w:val="20"/>
              </w:rPr>
            </w:pPr>
          </w:p>
        </w:tc>
      </w:tr>
      <w:tr w:rsidR="00B44810" w:rsidRPr="00B13E33" w14:paraId="6E2A4020" w14:textId="77777777" w:rsidTr="00B44810">
        <w:tc>
          <w:tcPr>
            <w:tcW w:w="4675" w:type="dxa"/>
          </w:tcPr>
          <w:p w14:paraId="0F923228" w14:textId="77777777" w:rsidR="00B44810" w:rsidRPr="00B13E33" w:rsidRDefault="00B44810" w:rsidP="00B44810">
            <w:pPr>
              <w:rPr>
                <w:rFonts w:asciiTheme="majorHAnsi" w:hAnsiTheme="majorHAnsi"/>
                <w:b/>
                <w:sz w:val="20"/>
                <w:szCs w:val="20"/>
              </w:rPr>
            </w:pPr>
            <w:r w:rsidRPr="00B13E33">
              <w:rPr>
                <w:rFonts w:asciiTheme="majorHAnsi" w:hAnsiTheme="majorHAnsi"/>
                <w:b/>
                <w:sz w:val="20"/>
                <w:szCs w:val="20"/>
              </w:rPr>
              <w:lastRenderedPageBreak/>
              <w:t>Employment</w:t>
            </w:r>
          </w:p>
          <w:p w14:paraId="769AE2AC" w14:textId="77777777"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color w:val="000000"/>
                <w:sz w:val="20"/>
                <w:szCs w:val="20"/>
              </w:rPr>
              <w:t>General provisions provide for amendments to the Family and Medical Leave Expansion Act (</w:t>
            </w:r>
            <w:r w:rsidRPr="00B13E33">
              <w:rPr>
                <w:rFonts w:asciiTheme="majorHAnsi" w:eastAsia="Calibri" w:hAnsiTheme="majorHAnsi" w:cs="Calibri"/>
                <w:i/>
                <w:color w:val="000000"/>
                <w:sz w:val="20"/>
                <w:szCs w:val="20"/>
              </w:rPr>
              <w:t>Emergency Family and Medical Leave Expansion Act</w:t>
            </w:r>
            <w:r w:rsidRPr="00B13E33">
              <w:rPr>
                <w:rFonts w:asciiTheme="majorHAnsi" w:eastAsia="Calibri" w:hAnsiTheme="majorHAnsi" w:cs="Calibri"/>
                <w:color w:val="000000"/>
                <w:sz w:val="20"/>
                <w:szCs w:val="20"/>
              </w:rPr>
              <w:t>) which adds a new section on public health emergency leave. The public health emergency leave would apply to eligible employees who have been employed for at least 30 calendar days and for employers of 50 or more employees (full-time and part-time). Emp</w:t>
            </w:r>
            <w:r w:rsidRPr="00B13E33">
              <w:rPr>
                <w:rFonts w:asciiTheme="majorHAnsi" w:hAnsiTheme="majorHAnsi"/>
                <w:sz w:val="20"/>
                <w:szCs w:val="20"/>
              </w:rPr>
              <w:t xml:space="preserve">loyees would be able to take up to 12 weeks of job-protected leave to be used for certain reasons. </w:t>
            </w:r>
            <w:r w:rsidRPr="00B13E33">
              <w:rPr>
                <w:rFonts w:asciiTheme="majorHAnsi" w:hAnsiTheme="majorHAnsi"/>
                <w:sz w:val="20"/>
                <w:szCs w:val="20"/>
              </w:rPr>
              <w:lastRenderedPageBreak/>
              <w:t>Employers would be required to offer two weeks of paid sick leave for COVID-19 reasons. After these two weeks, employees will receive a benefit that will total no less than ⅔ of the employee’s pay.</w:t>
            </w:r>
          </w:p>
          <w:p w14:paraId="2EF6DEE4" w14:textId="4B71D24E"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Further, this bill provides for emergency grants for unemployment compensation administration (</w:t>
            </w:r>
            <w:r w:rsidRPr="00B13E33">
              <w:rPr>
                <w:rFonts w:asciiTheme="majorHAnsi" w:hAnsiTheme="majorHAnsi"/>
                <w:i/>
                <w:sz w:val="20"/>
                <w:szCs w:val="20"/>
              </w:rPr>
              <w:t>Emergency Unemployment Insurance Stabilization and Access Act of 2020</w:t>
            </w:r>
            <w:r w:rsidRPr="00B13E33">
              <w:rPr>
                <w:rFonts w:asciiTheme="majorHAnsi" w:hAnsiTheme="majorHAnsi"/>
                <w:sz w:val="20"/>
                <w:szCs w:val="20"/>
              </w:rPr>
              <w:t>) – and paid sick time (</w:t>
            </w:r>
            <w:r w:rsidRPr="00B13E33">
              <w:rPr>
                <w:rFonts w:asciiTheme="majorHAnsi" w:hAnsiTheme="majorHAnsi"/>
                <w:i/>
                <w:sz w:val="20"/>
                <w:szCs w:val="20"/>
              </w:rPr>
              <w:t>Emergency Paid Sick Leave Act</w:t>
            </w:r>
            <w:r w:rsidRPr="00B13E33">
              <w:rPr>
                <w:rFonts w:asciiTheme="majorHAnsi" w:hAnsiTheme="majorHAnsi"/>
                <w:sz w:val="20"/>
                <w:szCs w:val="20"/>
              </w:rPr>
              <w:t xml:space="preserve">). The Paid Sick </w:t>
            </w:r>
            <w:r w:rsidRPr="008707F7">
              <w:rPr>
                <w:rFonts w:asciiTheme="majorHAnsi" w:hAnsiTheme="majorHAnsi"/>
                <w:sz w:val="20"/>
                <w:szCs w:val="20"/>
              </w:rPr>
              <w:t>L</w:t>
            </w:r>
            <w:r w:rsidR="004350EF" w:rsidRPr="008707F7">
              <w:rPr>
                <w:rFonts w:asciiTheme="majorHAnsi" w:hAnsiTheme="majorHAnsi"/>
                <w:sz w:val="20"/>
                <w:szCs w:val="20"/>
              </w:rPr>
              <w:t>e</w:t>
            </w:r>
            <w:r w:rsidRPr="00B13E33">
              <w:rPr>
                <w:rFonts w:asciiTheme="majorHAnsi" w:hAnsiTheme="majorHAnsi"/>
                <w:sz w:val="20"/>
                <w:szCs w:val="20"/>
              </w:rPr>
              <w:t>ave Act would require employees with fewer than 500 employees to provide for 2 weeks of paid sick leave to quarantine or seek a diagnosis or care for coronavirus, or paid at ⅔ of the regular rate to care for a family member or child.</w:t>
            </w:r>
          </w:p>
          <w:p w14:paraId="4FD194CA" w14:textId="18586CC1"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color w:val="000000"/>
                <w:sz w:val="20"/>
                <w:szCs w:val="20"/>
              </w:rPr>
              <w:t>Employers will be able to receive payroll tax credits for paid sick and paid family and medical leave under this bill</w:t>
            </w:r>
            <w:r w:rsidRPr="00B13E33">
              <w:rPr>
                <w:rFonts w:asciiTheme="majorHAnsi" w:hAnsiTheme="majorHAnsi"/>
                <w:sz w:val="20"/>
                <w:szCs w:val="20"/>
              </w:rPr>
              <w:t xml:space="preserve"> and there is a refundable income tax credit for self-employed individuals.</w:t>
            </w:r>
            <w:r w:rsidR="004350EF">
              <w:rPr>
                <w:rFonts w:asciiTheme="majorHAnsi" w:hAnsiTheme="majorHAnsi"/>
                <w:sz w:val="20"/>
                <w:szCs w:val="20"/>
              </w:rPr>
              <w:t xml:space="preserve"> </w:t>
            </w:r>
            <w:r w:rsidR="00DB7072">
              <w:rPr>
                <w:rFonts w:asciiTheme="majorHAnsi" w:hAnsiTheme="majorHAnsi"/>
                <w:sz w:val="20"/>
                <w:szCs w:val="20"/>
              </w:rPr>
              <w:t>(</w:t>
            </w:r>
            <w:r w:rsidR="004350EF" w:rsidRPr="004350EF">
              <w:rPr>
                <w:rFonts w:asciiTheme="majorHAnsi" w:hAnsiTheme="majorHAnsi"/>
                <w:sz w:val="20"/>
                <w:szCs w:val="20"/>
                <w:highlight w:val="yellow"/>
              </w:rPr>
              <w:t xml:space="preserve">Public employers were excluded from these credits, reportedly because of the estimated budgetary cost. NSBA and other groups representing states and local governments are urging that the credits be extended </w:t>
            </w:r>
            <w:r w:rsidR="00C526DE">
              <w:rPr>
                <w:rFonts w:asciiTheme="majorHAnsi" w:hAnsiTheme="majorHAnsi"/>
                <w:sz w:val="20"/>
                <w:szCs w:val="20"/>
                <w:highlight w:val="yellow"/>
              </w:rPr>
              <w:t xml:space="preserve">to </w:t>
            </w:r>
            <w:r w:rsidR="004350EF" w:rsidRPr="004350EF">
              <w:rPr>
                <w:rFonts w:asciiTheme="majorHAnsi" w:hAnsiTheme="majorHAnsi"/>
                <w:sz w:val="20"/>
                <w:szCs w:val="20"/>
                <w:highlight w:val="yellow"/>
              </w:rPr>
              <w:t>public employers.</w:t>
            </w:r>
            <w:r w:rsidR="00DB7072">
              <w:rPr>
                <w:rFonts w:asciiTheme="majorHAnsi" w:hAnsiTheme="majorHAnsi"/>
                <w:sz w:val="20"/>
                <w:szCs w:val="20"/>
              </w:rPr>
              <w:t>)</w:t>
            </w:r>
          </w:p>
          <w:p w14:paraId="3645D98F" w14:textId="77777777" w:rsidR="00B44810" w:rsidRPr="00B13E33" w:rsidRDefault="00B44810" w:rsidP="00B44810">
            <w:pPr>
              <w:numPr>
                <w:ilvl w:val="0"/>
                <w:numId w:val="2"/>
              </w:numPr>
              <w:rPr>
                <w:rFonts w:asciiTheme="majorHAnsi" w:hAnsiTheme="majorHAnsi"/>
                <w:sz w:val="20"/>
                <w:szCs w:val="20"/>
              </w:rPr>
            </w:pPr>
            <w:r w:rsidRPr="00B13E33">
              <w:rPr>
                <w:rFonts w:asciiTheme="majorHAnsi" w:hAnsiTheme="majorHAnsi"/>
                <w:sz w:val="20"/>
                <w:szCs w:val="20"/>
              </w:rPr>
              <w:t xml:space="preserve">Employers with fewer than 50 employees would be exempt if the requirements would jeopardize the business’ viability. </w:t>
            </w:r>
          </w:p>
          <w:p w14:paraId="5BF80A92" w14:textId="619AED65" w:rsidR="00B44810" w:rsidRPr="00B13E33" w:rsidRDefault="00B44810">
            <w:pPr>
              <w:rPr>
                <w:rFonts w:asciiTheme="majorHAnsi" w:hAnsiTheme="majorHAnsi"/>
                <w:sz w:val="20"/>
                <w:szCs w:val="20"/>
              </w:rPr>
            </w:pPr>
          </w:p>
        </w:tc>
        <w:tc>
          <w:tcPr>
            <w:tcW w:w="4675" w:type="dxa"/>
          </w:tcPr>
          <w:p w14:paraId="5D2375D8" w14:textId="49644500" w:rsidR="00B44810" w:rsidRPr="00B13E33" w:rsidRDefault="00B44810" w:rsidP="00B44810">
            <w:pPr>
              <w:rPr>
                <w:rFonts w:asciiTheme="majorHAnsi" w:hAnsiTheme="majorHAnsi"/>
                <w:b/>
                <w:sz w:val="20"/>
                <w:szCs w:val="20"/>
              </w:rPr>
            </w:pPr>
            <w:r w:rsidRPr="00B13E33">
              <w:rPr>
                <w:rFonts w:asciiTheme="majorHAnsi" w:hAnsiTheme="majorHAnsi"/>
                <w:b/>
                <w:sz w:val="20"/>
                <w:szCs w:val="20"/>
              </w:rPr>
              <w:lastRenderedPageBreak/>
              <w:t>Free Testing</w:t>
            </w:r>
          </w:p>
          <w:p w14:paraId="1E80ADBC" w14:textId="18A48683"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color w:val="000000"/>
                <w:sz w:val="20"/>
                <w:szCs w:val="20"/>
              </w:rPr>
              <w:t>This bill provides for coverage of testing for COVID-19 for all individuals at no cost</w:t>
            </w:r>
            <w:r w:rsidRPr="00B13E33">
              <w:rPr>
                <w:rFonts w:asciiTheme="majorHAnsi" w:hAnsiTheme="majorHAnsi"/>
                <w:sz w:val="20"/>
                <w:szCs w:val="20"/>
              </w:rPr>
              <w:t xml:space="preserve"> - this includes individuals with private insurance, M</w:t>
            </w:r>
            <w:r w:rsidR="001352EF">
              <w:rPr>
                <w:rFonts w:asciiTheme="majorHAnsi" w:hAnsiTheme="majorHAnsi"/>
                <w:sz w:val="20"/>
                <w:szCs w:val="20"/>
              </w:rPr>
              <w:t>e</w:t>
            </w:r>
            <w:r w:rsidRPr="00B13E33">
              <w:rPr>
                <w:rFonts w:asciiTheme="majorHAnsi" w:hAnsiTheme="majorHAnsi"/>
                <w:sz w:val="20"/>
                <w:szCs w:val="20"/>
              </w:rPr>
              <w:t>dicare Advantage or Original Medicare, Medicaid, Children’s Health Insurance Program, VA, Federal Employees Health Benefits, and TRICARE, as well as anyone who is uninsured.</w:t>
            </w:r>
          </w:p>
          <w:p w14:paraId="55BA7BBF" w14:textId="77777777" w:rsidR="00B44810" w:rsidRPr="00B13E33" w:rsidRDefault="00B44810">
            <w:pPr>
              <w:rPr>
                <w:rFonts w:asciiTheme="majorHAnsi" w:hAnsiTheme="majorHAnsi"/>
                <w:sz w:val="20"/>
                <w:szCs w:val="20"/>
              </w:rPr>
            </w:pPr>
          </w:p>
        </w:tc>
      </w:tr>
      <w:tr w:rsidR="00944AE7" w:rsidRPr="00B13E33" w14:paraId="118F8F88" w14:textId="77777777" w:rsidTr="00B44810">
        <w:tc>
          <w:tcPr>
            <w:tcW w:w="4675" w:type="dxa"/>
          </w:tcPr>
          <w:p w14:paraId="03628EAA"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Coverage of Testing for COVID-19 through the Department of Defense </w:t>
            </w:r>
          </w:p>
          <w:p w14:paraId="3EEDD927" w14:textId="6C228559"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Includes $82 million for the Department of Defense to cover the costs of COVID-19 diagnostic testing for beneficiaries receiving care through the Defense Health Program</w:t>
            </w:r>
          </w:p>
          <w:p w14:paraId="40044CB6" w14:textId="77777777" w:rsidR="00944AE7" w:rsidRPr="00B13E33" w:rsidRDefault="00944AE7" w:rsidP="00B44810">
            <w:pPr>
              <w:rPr>
                <w:rFonts w:asciiTheme="majorHAnsi" w:hAnsiTheme="majorHAnsi"/>
                <w:b/>
                <w:sz w:val="20"/>
                <w:szCs w:val="20"/>
              </w:rPr>
            </w:pPr>
          </w:p>
        </w:tc>
        <w:tc>
          <w:tcPr>
            <w:tcW w:w="4675" w:type="dxa"/>
          </w:tcPr>
          <w:p w14:paraId="2E2BB9AD"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Implementation of Tax Credits – </w:t>
            </w:r>
          </w:p>
          <w:p w14:paraId="59E34B1A" w14:textId="47D414B8"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Includes $15 million for the Internal Revenue Service to implement tax credits for paid sick and paid family and medical leave. </w:t>
            </w:r>
          </w:p>
          <w:p w14:paraId="7FFFC0AC" w14:textId="77777777" w:rsidR="00944AE7" w:rsidRPr="00B13E33" w:rsidRDefault="00944AE7" w:rsidP="00B44810">
            <w:pPr>
              <w:rPr>
                <w:rFonts w:asciiTheme="majorHAnsi" w:hAnsiTheme="majorHAnsi"/>
                <w:b/>
                <w:sz w:val="20"/>
                <w:szCs w:val="20"/>
              </w:rPr>
            </w:pPr>
          </w:p>
        </w:tc>
      </w:tr>
      <w:tr w:rsidR="00944AE7" w:rsidRPr="00B13E33" w14:paraId="263E985A" w14:textId="77777777" w:rsidTr="00B44810">
        <w:tc>
          <w:tcPr>
            <w:tcW w:w="4675" w:type="dxa"/>
          </w:tcPr>
          <w:p w14:paraId="50219C39" w14:textId="0A477328"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Coverage of Testing for COVID-19 through the Indian Health Service  </w:t>
            </w:r>
          </w:p>
          <w:p w14:paraId="3B64F989" w14:textId="61BDF9B6"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Includes $64 million for the Indian Health Service to cover the costs of COVID-19 diagnostic testing for Indians receiving care through the Indian Health Service or through an Urban Indian Health Organization.</w:t>
            </w:r>
          </w:p>
          <w:p w14:paraId="5DFB4239" w14:textId="77777777" w:rsidR="00944AE7" w:rsidRPr="00944AE7" w:rsidRDefault="00944AE7" w:rsidP="00944AE7">
            <w:pPr>
              <w:rPr>
                <w:rFonts w:asciiTheme="majorHAnsi" w:hAnsiTheme="majorHAnsi"/>
                <w:b/>
                <w:sz w:val="20"/>
                <w:szCs w:val="20"/>
              </w:rPr>
            </w:pPr>
          </w:p>
        </w:tc>
        <w:tc>
          <w:tcPr>
            <w:tcW w:w="4675" w:type="dxa"/>
          </w:tcPr>
          <w:p w14:paraId="004F321B"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Senior Nutrition Program </w:t>
            </w:r>
          </w:p>
          <w:p w14:paraId="2AABF914" w14:textId="7FFB0EF9" w:rsidR="00944AE7" w:rsidRPr="00944AE7" w:rsidRDefault="00944AE7" w:rsidP="00944AE7">
            <w:pPr>
              <w:pStyle w:val="ListParagraph"/>
              <w:numPr>
                <w:ilvl w:val="0"/>
                <w:numId w:val="31"/>
              </w:numPr>
              <w:rPr>
                <w:rFonts w:asciiTheme="majorHAnsi" w:hAnsiTheme="majorHAnsi"/>
                <w:b/>
                <w:sz w:val="20"/>
                <w:szCs w:val="20"/>
              </w:rPr>
            </w:pPr>
            <w:r>
              <w:rPr>
                <w:rFonts w:asciiTheme="majorHAnsi" w:hAnsiTheme="majorHAnsi"/>
                <w:bCs/>
                <w:sz w:val="20"/>
                <w:szCs w:val="20"/>
              </w:rPr>
              <w:t>I</w:t>
            </w:r>
            <w:r w:rsidRPr="00944AE7">
              <w:rPr>
                <w:rFonts w:asciiTheme="majorHAnsi" w:hAnsiTheme="majorHAnsi"/>
                <w:bCs/>
                <w:sz w:val="20"/>
                <w:szCs w:val="20"/>
              </w:rPr>
              <w:t xml:space="preserve">ncludes $250 million for the Senior Nutrition program </w:t>
            </w:r>
          </w:p>
          <w:p w14:paraId="0B285B2E" w14:textId="77777777" w:rsidR="00944AE7" w:rsidRPr="00944AE7" w:rsidRDefault="00944AE7" w:rsidP="00944AE7">
            <w:pPr>
              <w:rPr>
                <w:rFonts w:asciiTheme="majorHAnsi" w:hAnsiTheme="majorHAnsi"/>
                <w:b/>
                <w:sz w:val="20"/>
                <w:szCs w:val="20"/>
              </w:rPr>
            </w:pPr>
          </w:p>
        </w:tc>
      </w:tr>
      <w:tr w:rsidR="00944AE7" w:rsidRPr="00B13E33" w14:paraId="0642D285" w14:textId="77777777" w:rsidTr="00B44810">
        <w:tc>
          <w:tcPr>
            <w:tcW w:w="4675" w:type="dxa"/>
          </w:tcPr>
          <w:p w14:paraId="17AD9350" w14:textId="1DF57BE0"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Reimbursement for Diagnostic Testing and Services for COVID-19 in Uninsured Individuals </w:t>
            </w:r>
          </w:p>
          <w:p w14:paraId="2D91314C" w14:textId="0F219DC0"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Includes $1 billion for the National Disaster Medical System to reimburse the costs of COVID19 diagnostic testing and services </w:t>
            </w:r>
            <w:r w:rsidRPr="00944AE7">
              <w:rPr>
                <w:rFonts w:asciiTheme="majorHAnsi" w:hAnsiTheme="majorHAnsi"/>
                <w:bCs/>
                <w:sz w:val="20"/>
                <w:szCs w:val="20"/>
              </w:rPr>
              <w:lastRenderedPageBreak/>
              <w:t>provided to individuals without health insurance.</w:t>
            </w:r>
          </w:p>
          <w:p w14:paraId="585D7EEA" w14:textId="77777777" w:rsidR="00944AE7" w:rsidRPr="00944AE7" w:rsidRDefault="00944AE7" w:rsidP="00944AE7">
            <w:pPr>
              <w:rPr>
                <w:rFonts w:asciiTheme="majorHAnsi" w:hAnsiTheme="majorHAnsi"/>
                <w:b/>
                <w:sz w:val="20"/>
                <w:szCs w:val="20"/>
              </w:rPr>
            </w:pPr>
          </w:p>
        </w:tc>
        <w:tc>
          <w:tcPr>
            <w:tcW w:w="4675" w:type="dxa"/>
          </w:tcPr>
          <w:p w14:paraId="1CEB6E7F" w14:textId="23C0F118" w:rsidR="00944AE7" w:rsidRDefault="00944AE7" w:rsidP="00944AE7">
            <w:pPr>
              <w:rPr>
                <w:rFonts w:asciiTheme="majorHAnsi" w:hAnsiTheme="majorHAnsi"/>
                <w:b/>
                <w:sz w:val="20"/>
                <w:szCs w:val="20"/>
              </w:rPr>
            </w:pPr>
            <w:r w:rsidRPr="00944AE7">
              <w:rPr>
                <w:rFonts w:asciiTheme="majorHAnsi" w:hAnsiTheme="majorHAnsi"/>
                <w:b/>
                <w:sz w:val="20"/>
                <w:szCs w:val="20"/>
              </w:rPr>
              <w:lastRenderedPageBreak/>
              <w:t xml:space="preserve">Coverage of Testing for COVID-19 through the Veterans Health Administration  </w:t>
            </w:r>
          </w:p>
          <w:p w14:paraId="0B401CDB" w14:textId="483B1041"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Includes $60 million for the Department of Veterans Affairs to cover the costs of COVID-19 diagnostic testing for veterans receiving </w:t>
            </w:r>
            <w:r w:rsidRPr="00944AE7">
              <w:rPr>
                <w:rFonts w:asciiTheme="majorHAnsi" w:hAnsiTheme="majorHAnsi"/>
                <w:bCs/>
                <w:sz w:val="20"/>
                <w:szCs w:val="20"/>
              </w:rPr>
              <w:lastRenderedPageBreak/>
              <w:t>care through Medical Services or through Medical Community Care.</w:t>
            </w:r>
          </w:p>
          <w:p w14:paraId="15DACEF9" w14:textId="77777777" w:rsidR="00944AE7" w:rsidRPr="00944AE7" w:rsidRDefault="00944AE7" w:rsidP="00944AE7">
            <w:pPr>
              <w:rPr>
                <w:rFonts w:asciiTheme="majorHAnsi" w:hAnsiTheme="majorHAnsi"/>
                <w:b/>
                <w:sz w:val="20"/>
                <w:szCs w:val="20"/>
              </w:rPr>
            </w:pPr>
          </w:p>
        </w:tc>
      </w:tr>
      <w:tr w:rsidR="00944AE7" w:rsidRPr="00B13E33" w14:paraId="2FBA7EF1" w14:textId="77777777" w:rsidTr="00B44810">
        <w:tc>
          <w:tcPr>
            <w:tcW w:w="4675" w:type="dxa"/>
          </w:tcPr>
          <w:p w14:paraId="6C17B1A0"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lastRenderedPageBreak/>
              <w:t xml:space="preserve">Family and Medical Leave Act of 1993. </w:t>
            </w:r>
          </w:p>
          <w:p w14:paraId="1CA86F9A" w14:textId="1A536C93" w:rsidR="00944AE7" w:rsidRPr="00944AE7" w:rsidRDefault="002F1AD6" w:rsidP="00944AE7">
            <w:pPr>
              <w:pStyle w:val="ListParagraph"/>
              <w:numPr>
                <w:ilvl w:val="0"/>
                <w:numId w:val="31"/>
              </w:numPr>
              <w:rPr>
                <w:rFonts w:asciiTheme="majorHAnsi" w:hAnsiTheme="majorHAnsi"/>
                <w:bCs/>
                <w:sz w:val="20"/>
                <w:szCs w:val="20"/>
              </w:rPr>
            </w:pPr>
            <w:r>
              <w:rPr>
                <w:rFonts w:asciiTheme="majorHAnsi" w:hAnsiTheme="majorHAnsi"/>
                <w:bCs/>
                <w:sz w:val="20"/>
                <w:szCs w:val="20"/>
              </w:rPr>
              <w:t>P</w:t>
            </w:r>
            <w:r w:rsidR="00944AE7" w:rsidRPr="00944AE7">
              <w:rPr>
                <w:rFonts w:asciiTheme="majorHAnsi" w:hAnsiTheme="majorHAnsi"/>
                <w:bCs/>
                <w:sz w:val="20"/>
                <w:szCs w:val="20"/>
              </w:rPr>
              <w:t>rovides employees of employers with fewer than 500 employees and government employers, who have been on the job for at least 30 days, with the right take up to 12 weeks of job-protected leave under the Family and Medical Leave Act to be used for any of the following reasons</w:t>
            </w:r>
          </w:p>
          <w:p w14:paraId="1A2DCD02" w14:textId="77777777" w:rsidR="00944AE7" w:rsidRPr="00944AE7" w:rsidRDefault="00944AE7" w:rsidP="00944AE7">
            <w:pPr>
              <w:rPr>
                <w:rFonts w:asciiTheme="majorHAnsi" w:hAnsiTheme="majorHAnsi"/>
                <w:b/>
                <w:sz w:val="20"/>
                <w:szCs w:val="20"/>
              </w:rPr>
            </w:pPr>
          </w:p>
        </w:tc>
        <w:tc>
          <w:tcPr>
            <w:tcW w:w="4675" w:type="dxa"/>
          </w:tcPr>
          <w:p w14:paraId="334475C5"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Employment Under Multi-Employer Bargaining Agreements. </w:t>
            </w:r>
          </w:p>
          <w:p w14:paraId="5DC67DF1" w14:textId="2FADA29F"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The bill ensures employees who work under a multiemployer collective agreement and whose employers pay into a multiemployer plan are provided with leave.</w:t>
            </w:r>
          </w:p>
          <w:p w14:paraId="6A1E83FD" w14:textId="77777777" w:rsidR="00944AE7" w:rsidRPr="00944AE7" w:rsidRDefault="00944AE7" w:rsidP="00944AE7">
            <w:pPr>
              <w:rPr>
                <w:rFonts w:asciiTheme="majorHAnsi" w:hAnsiTheme="majorHAnsi"/>
                <w:b/>
                <w:sz w:val="20"/>
                <w:szCs w:val="20"/>
              </w:rPr>
            </w:pPr>
          </w:p>
        </w:tc>
      </w:tr>
      <w:tr w:rsidR="00944AE7" w:rsidRPr="00B13E33" w14:paraId="1829578B" w14:textId="77777777" w:rsidTr="00B44810">
        <w:tc>
          <w:tcPr>
            <w:tcW w:w="4675" w:type="dxa"/>
          </w:tcPr>
          <w:p w14:paraId="51033A7E"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Emergency Transfers for Unemployment Compensation Administration. </w:t>
            </w:r>
          </w:p>
          <w:p w14:paraId="30484CD0" w14:textId="35DBC62D"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Provides $1 billion in 2020 for emergency grants to states for activities related to processing and paying unemployment insurance (UI) benefits, under certain conditions. </w:t>
            </w:r>
          </w:p>
          <w:p w14:paraId="22BA5865" w14:textId="77777777" w:rsidR="00944AE7" w:rsidRPr="00944AE7" w:rsidRDefault="00944AE7" w:rsidP="00944AE7">
            <w:pPr>
              <w:rPr>
                <w:rFonts w:asciiTheme="majorHAnsi" w:hAnsiTheme="majorHAnsi"/>
                <w:b/>
                <w:sz w:val="20"/>
                <w:szCs w:val="20"/>
              </w:rPr>
            </w:pPr>
          </w:p>
        </w:tc>
        <w:tc>
          <w:tcPr>
            <w:tcW w:w="4675" w:type="dxa"/>
          </w:tcPr>
          <w:p w14:paraId="04D8A042" w14:textId="0CE81618"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The Emergency Paid Sick Leave Act. </w:t>
            </w:r>
          </w:p>
          <w:p w14:paraId="64C69E8B" w14:textId="4569BF31"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This section requires employers with fewer than 500 employees and government employers to provide employees two weeks of paid sick leave, paid at the employee’s regular rate, to quarantine or seek a diagnosis or preventive care for coronavirus; or paid at two-thirds the employee’s regular rate to care for a family member for such purposes or to care for a child whose school has closed, or child care provider is unavailable, due to the coronavirus. </w:t>
            </w:r>
          </w:p>
          <w:p w14:paraId="61DDE1B9" w14:textId="77777777" w:rsidR="00944AE7" w:rsidRPr="00944AE7" w:rsidRDefault="00944AE7" w:rsidP="00944AE7">
            <w:pPr>
              <w:rPr>
                <w:rFonts w:asciiTheme="majorHAnsi" w:hAnsiTheme="majorHAnsi"/>
                <w:b/>
                <w:sz w:val="20"/>
                <w:szCs w:val="20"/>
              </w:rPr>
            </w:pPr>
          </w:p>
        </w:tc>
      </w:tr>
      <w:tr w:rsidR="00944AE7" w:rsidRPr="00B13E33" w14:paraId="4E7E02C2" w14:textId="77777777" w:rsidTr="00B44810">
        <w:tc>
          <w:tcPr>
            <w:tcW w:w="4675" w:type="dxa"/>
          </w:tcPr>
          <w:p w14:paraId="5A36E272"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Payroll Credit for Required Paid Sick Leave. </w:t>
            </w:r>
          </w:p>
          <w:p w14:paraId="1DB9C7C0" w14:textId="1918746B"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This section provides a refundable tax credit equal to 100 percent of qualified paid sick leave wages paid by an employer for each calendar quarter.</w:t>
            </w:r>
          </w:p>
          <w:p w14:paraId="6938801C" w14:textId="77777777" w:rsidR="00944AE7" w:rsidRPr="00944AE7" w:rsidRDefault="00944AE7" w:rsidP="00944AE7">
            <w:pPr>
              <w:rPr>
                <w:rFonts w:asciiTheme="majorHAnsi" w:hAnsiTheme="majorHAnsi"/>
                <w:b/>
                <w:sz w:val="20"/>
                <w:szCs w:val="20"/>
              </w:rPr>
            </w:pPr>
          </w:p>
        </w:tc>
        <w:tc>
          <w:tcPr>
            <w:tcW w:w="4675" w:type="dxa"/>
          </w:tcPr>
          <w:p w14:paraId="6F281925"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Payroll Credit for Required Paid Sick Leave. </w:t>
            </w:r>
          </w:p>
          <w:p w14:paraId="08992C89" w14:textId="0E6260CC"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This section provides a refundable tax credit equal to 100 percent of qualified paid sick leave wages paid by an employer for each calendar quarter.</w:t>
            </w:r>
          </w:p>
          <w:p w14:paraId="37979D65" w14:textId="77777777" w:rsidR="00944AE7" w:rsidRPr="00944AE7" w:rsidRDefault="00944AE7" w:rsidP="00944AE7">
            <w:pPr>
              <w:rPr>
                <w:rFonts w:asciiTheme="majorHAnsi" w:hAnsiTheme="majorHAnsi"/>
                <w:b/>
                <w:sz w:val="20"/>
                <w:szCs w:val="20"/>
              </w:rPr>
            </w:pPr>
          </w:p>
        </w:tc>
      </w:tr>
      <w:tr w:rsidR="00944AE7" w:rsidRPr="00B13E33" w14:paraId="7A9C0D56" w14:textId="77777777" w:rsidTr="00B44810">
        <w:tc>
          <w:tcPr>
            <w:tcW w:w="4675" w:type="dxa"/>
          </w:tcPr>
          <w:p w14:paraId="0E9F3020"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Payroll Credit for Required Paid Family Leave. </w:t>
            </w:r>
          </w:p>
          <w:p w14:paraId="42B08E13" w14:textId="68A7F642"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This section provides a refundable tax credit equal to 100 percent of qualified family leave wages paid by an employer for each calendar quarter. </w:t>
            </w:r>
          </w:p>
          <w:p w14:paraId="6D50383A" w14:textId="77777777" w:rsidR="00944AE7" w:rsidRPr="00944AE7" w:rsidRDefault="00944AE7" w:rsidP="00944AE7">
            <w:pPr>
              <w:rPr>
                <w:rFonts w:asciiTheme="majorHAnsi" w:hAnsiTheme="majorHAnsi"/>
                <w:b/>
                <w:sz w:val="20"/>
                <w:szCs w:val="20"/>
              </w:rPr>
            </w:pPr>
          </w:p>
        </w:tc>
        <w:tc>
          <w:tcPr>
            <w:tcW w:w="4675" w:type="dxa"/>
          </w:tcPr>
          <w:p w14:paraId="59E52F7A" w14:textId="77777777" w:rsidR="00944AE7" w:rsidRDefault="00944AE7" w:rsidP="00944AE7">
            <w:pPr>
              <w:rPr>
                <w:rFonts w:asciiTheme="majorHAnsi" w:hAnsiTheme="majorHAnsi"/>
                <w:bCs/>
                <w:sz w:val="20"/>
                <w:szCs w:val="20"/>
              </w:rPr>
            </w:pPr>
            <w:r w:rsidRPr="00944AE7">
              <w:rPr>
                <w:rFonts w:asciiTheme="majorHAnsi" w:hAnsiTheme="majorHAnsi"/>
                <w:b/>
                <w:sz w:val="20"/>
                <w:szCs w:val="20"/>
              </w:rPr>
              <w:t>Credit for Family Leave for Certain Self-Employed Individuals.</w:t>
            </w:r>
            <w:r w:rsidRPr="00944AE7">
              <w:rPr>
                <w:rFonts w:asciiTheme="majorHAnsi" w:hAnsiTheme="majorHAnsi"/>
                <w:bCs/>
                <w:sz w:val="20"/>
                <w:szCs w:val="20"/>
              </w:rPr>
              <w:t xml:space="preserve"> </w:t>
            </w:r>
          </w:p>
          <w:p w14:paraId="4238F452" w14:textId="430CB76A"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This section provides a refundable tax credit equal to 100 percent of a qualified family leave equivalent amount for eligible self-employed individuals.</w:t>
            </w:r>
          </w:p>
          <w:p w14:paraId="3989E828" w14:textId="77777777" w:rsidR="00944AE7" w:rsidRPr="00944AE7" w:rsidRDefault="00944AE7" w:rsidP="00944AE7">
            <w:pPr>
              <w:rPr>
                <w:rFonts w:asciiTheme="majorHAnsi" w:hAnsiTheme="majorHAnsi"/>
                <w:b/>
                <w:sz w:val="20"/>
                <w:szCs w:val="20"/>
              </w:rPr>
            </w:pPr>
          </w:p>
        </w:tc>
      </w:tr>
      <w:tr w:rsidR="00944AE7" w:rsidRPr="00B13E33" w14:paraId="429BB6CA" w14:textId="77777777" w:rsidTr="00B44810">
        <w:tc>
          <w:tcPr>
            <w:tcW w:w="4675" w:type="dxa"/>
          </w:tcPr>
          <w:p w14:paraId="0E19B2E5" w14:textId="49944879"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Special Rule Related to Tax on Employers. </w:t>
            </w:r>
          </w:p>
          <w:p w14:paraId="3BC973B5" w14:textId="6071F039"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This section ensures that any wages required to be paid by reason of the Emergency Paid Sick Leave Act and the Emergency Family and Medical Leave Expansion Act will not be considered wages for purposes of section 3111(a). </w:t>
            </w:r>
          </w:p>
          <w:p w14:paraId="47ECF5A5" w14:textId="77777777" w:rsidR="00944AE7" w:rsidRPr="00944AE7" w:rsidRDefault="00944AE7" w:rsidP="00944AE7">
            <w:pPr>
              <w:rPr>
                <w:rFonts w:asciiTheme="majorHAnsi" w:hAnsiTheme="majorHAnsi"/>
                <w:b/>
                <w:sz w:val="20"/>
                <w:szCs w:val="20"/>
              </w:rPr>
            </w:pPr>
          </w:p>
        </w:tc>
        <w:tc>
          <w:tcPr>
            <w:tcW w:w="4675" w:type="dxa"/>
          </w:tcPr>
          <w:p w14:paraId="6898A26A" w14:textId="77777777" w:rsidR="00944AE7" w:rsidRPr="00944AE7" w:rsidRDefault="00944AE7" w:rsidP="00944AE7">
            <w:pPr>
              <w:rPr>
                <w:rFonts w:asciiTheme="majorHAnsi" w:hAnsiTheme="majorHAnsi"/>
                <w:b/>
                <w:sz w:val="20"/>
                <w:szCs w:val="20"/>
              </w:rPr>
            </w:pPr>
          </w:p>
        </w:tc>
      </w:tr>
    </w:tbl>
    <w:p w14:paraId="26F4F3DF" w14:textId="43D8EDA0" w:rsidR="00990CFB" w:rsidRPr="00C527AF" w:rsidRDefault="0028712E" w:rsidP="0028712E">
      <w:pPr>
        <w:pStyle w:val="Heading2"/>
        <w:rPr>
          <w:rFonts w:asciiTheme="majorHAnsi" w:hAnsiTheme="majorHAnsi"/>
        </w:rPr>
      </w:pPr>
      <w:r w:rsidRPr="00C527AF">
        <w:rPr>
          <w:rFonts w:asciiTheme="majorHAnsi" w:hAnsiTheme="majorHAnsi"/>
        </w:rPr>
        <w:t>T</w:t>
      </w:r>
      <w:r w:rsidR="00990CFB" w:rsidRPr="00C527AF">
        <w:rPr>
          <w:rFonts w:asciiTheme="majorHAnsi" w:hAnsiTheme="majorHAnsi"/>
        </w:rPr>
        <w:t xml:space="preserve">hird Emergency Bill: </w:t>
      </w:r>
      <w:r w:rsidR="00787190" w:rsidRPr="00C527AF">
        <w:rPr>
          <w:rFonts w:asciiTheme="majorHAnsi" w:hAnsiTheme="majorHAnsi"/>
        </w:rPr>
        <w:t>Coronavirus Aid, Relief, and Economic Security Act (CARES Act) (</w:t>
      </w:r>
      <w:r w:rsidR="00990CFB" w:rsidRPr="00C527AF">
        <w:rPr>
          <w:rFonts w:asciiTheme="majorHAnsi" w:hAnsiTheme="majorHAnsi"/>
        </w:rPr>
        <w:t>H.R.748</w:t>
      </w:r>
      <w:r w:rsidR="00787190" w:rsidRPr="00C527AF">
        <w:rPr>
          <w:rFonts w:asciiTheme="majorHAnsi" w:hAnsiTheme="majorHAnsi"/>
        </w:rPr>
        <w:t>)</w:t>
      </w:r>
    </w:p>
    <w:p w14:paraId="4D1DA9F3" w14:textId="77777777" w:rsidR="00393166" w:rsidRPr="00B13E33" w:rsidRDefault="00393166" w:rsidP="00393166">
      <w:pPr>
        <w:rPr>
          <w:rFonts w:asciiTheme="majorHAnsi" w:hAnsiTheme="majorHAnsi"/>
          <w:b/>
          <w:sz w:val="20"/>
          <w:szCs w:val="20"/>
          <w:u w:val="single"/>
        </w:rPr>
      </w:pPr>
    </w:p>
    <w:p w14:paraId="060D9E7B" w14:textId="0262A8FE" w:rsidR="00393166" w:rsidRPr="002F19E1" w:rsidRDefault="00393166" w:rsidP="00393166">
      <w:pPr>
        <w:rPr>
          <w:rFonts w:asciiTheme="majorHAnsi" w:hAnsiTheme="majorHAnsi"/>
          <w:sz w:val="22"/>
          <w:szCs w:val="22"/>
        </w:rPr>
      </w:pPr>
      <w:r w:rsidRPr="002F19E1">
        <w:rPr>
          <w:rFonts w:asciiTheme="majorHAnsi" w:hAnsiTheme="majorHAnsi"/>
          <w:b/>
          <w:bCs/>
          <w:sz w:val="22"/>
          <w:szCs w:val="22"/>
        </w:rPr>
        <w:lastRenderedPageBreak/>
        <w:t>Became Law:</w:t>
      </w:r>
      <w:r w:rsidRPr="002F19E1">
        <w:rPr>
          <w:rFonts w:asciiTheme="majorHAnsi" w:hAnsiTheme="majorHAnsi"/>
          <w:sz w:val="22"/>
          <w:szCs w:val="22"/>
        </w:rPr>
        <w:t xml:space="preserve"> March 27, 2020 (expected)</w:t>
      </w:r>
    </w:p>
    <w:p w14:paraId="538587EF" w14:textId="77777777" w:rsidR="00393166" w:rsidRPr="002F19E1" w:rsidRDefault="00393166" w:rsidP="00393166">
      <w:pPr>
        <w:rPr>
          <w:rFonts w:asciiTheme="majorHAnsi" w:hAnsiTheme="majorHAnsi"/>
          <w:sz w:val="22"/>
          <w:szCs w:val="22"/>
        </w:rPr>
      </w:pPr>
    </w:p>
    <w:p w14:paraId="746769F2" w14:textId="58AD22BF" w:rsidR="00393166" w:rsidRPr="002F19E1" w:rsidRDefault="00393166">
      <w:pPr>
        <w:rPr>
          <w:rFonts w:asciiTheme="majorHAnsi" w:hAnsiTheme="majorHAnsi"/>
          <w:sz w:val="22"/>
          <w:szCs w:val="22"/>
        </w:rPr>
      </w:pPr>
      <w:r w:rsidRPr="002F19E1">
        <w:rPr>
          <w:rFonts w:asciiTheme="majorHAnsi" w:hAnsiTheme="majorHAnsi"/>
          <w:b/>
          <w:bCs/>
          <w:sz w:val="22"/>
          <w:szCs w:val="22"/>
        </w:rPr>
        <w:t>Total Funding:</w:t>
      </w:r>
      <w:r w:rsidRPr="002F19E1">
        <w:rPr>
          <w:rFonts w:asciiTheme="majorHAnsi" w:hAnsiTheme="majorHAnsi"/>
          <w:sz w:val="22"/>
          <w:szCs w:val="22"/>
        </w:rPr>
        <w:t xml:space="preserve"> $2 trillion</w:t>
      </w:r>
    </w:p>
    <w:p w14:paraId="051ADC98" w14:textId="77777777" w:rsidR="00944AE7" w:rsidRPr="002F19E1" w:rsidRDefault="00944AE7">
      <w:pPr>
        <w:rPr>
          <w:rFonts w:asciiTheme="majorHAnsi" w:hAnsiTheme="majorHAnsi"/>
          <w:sz w:val="22"/>
          <w:szCs w:val="22"/>
        </w:rPr>
      </w:pPr>
    </w:p>
    <w:p w14:paraId="2BA00D74" w14:textId="78975D94" w:rsidR="00774ABB" w:rsidRPr="00DB7072" w:rsidRDefault="00774ABB" w:rsidP="00DB7072">
      <w:pPr>
        <w:autoSpaceDE w:val="0"/>
        <w:autoSpaceDN w:val="0"/>
        <w:adjustRightInd w:val="0"/>
        <w:rPr>
          <w:rFonts w:ascii="DeVinne" w:eastAsia="Calibri" w:hAnsi="DeVinne" w:cs="DeVinne"/>
          <w:sz w:val="28"/>
          <w:szCs w:val="28"/>
        </w:rPr>
      </w:pPr>
      <w:r w:rsidRPr="002F19E1">
        <w:rPr>
          <w:rFonts w:asciiTheme="majorHAnsi" w:hAnsiTheme="majorHAnsi"/>
          <w:b/>
          <w:bCs/>
          <w:sz w:val="22"/>
          <w:szCs w:val="22"/>
        </w:rPr>
        <w:t xml:space="preserve">Focus: </w:t>
      </w:r>
      <w:r w:rsidR="00CE5F41" w:rsidRPr="002F19E1">
        <w:rPr>
          <w:rFonts w:asciiTheme="majorHAnsi" w:hAnsiTheme="majorHAnsi"/>
          <w:sz w:val="22"/>
          <w:szCs w:val="22"/>
        </w:rPr>
        <w:t>The third emergency bill</w:t>
      </w:r>
      <w:r w:rsidR="006679D5">
        <w:rPr>
          <w:rFonts w:asciiTheme="majorHAnsi" w:hAnsiTheme="majorHAnsi"/>
          <w:sz w:val="22"/>
          <w:szCs w:val="22"/>
        </w:rPr>
        <w:t xml:space="preserve">, </w:t>
      </w:r>
      <w:r w:rsidR="006679D5" w:rsidRPr="006679D5">
        <w:rPr>
          <w:rFonts w:asciiTheme="majorHAnsi" w:hAnsiTheme="majorHAnsi"/>
          <w:sz w:val="22"/>
          <w:szCs w:val="22"/>
          <w:highlight w:val="yellow"/>
        </w:rPr>
        <w:t xml:space="preserve">the </w:t>
      </w:r>
      <w:r w:rsidR="006679D5" w:rsidRPr="006679D5">
        <w:rPr>
          <w:rFonts w:asciiTheme="majorHAnsi" w:eastAsia="Calibri" w:hAnsiTheme="majorHAnsi" w:cstheme="majorHAnsi"/>
          <w:sz w:val="22"/>
          <w:szCs w:val="22"/>
          <w:highlight w:val="yellow"/>
        </w:rPr>
        <w:t>‘‘Coronavirus Aid, Relief, and Economic Security Act’’ or the ‘‘CARES Act’’</w:t>
      </w:r>
      <w:r w:rsidR="00CE5F41" w:rsidRPr="006679D5">
        <w:rPr>
          <w:rFonts w:asciiTheme="majorHAnsi" w:hAnsiTheme="majorHAnsi" w:cstheme="majorHAnsi"/>
          <w:sz w:val="22"/>
          <w:szCs w:val="22"/>
        </w:rPr>
        <w:t xml:space="preserve"> </w:t>
      </w:r>
      <w:r w:rsidR="00CE5F41" w:rsidRPr="002F19E1">
        <w:rPr>
          <w:rFonts w:asciiTheme="majorHAnsi" w:hAnsiTheme="majorHAnsi"/>
          <w:sz w:val="22"/>
          <w:szCs w:val="22"/>
        </w:rPr>
        <w:t>(</w:t>
      </w:r>
      <w:hyperlink r:id="rId14" w:history="1">
        <w:r w:rsidR="00CE5F41" w:rsidRPr="002F19E1">
          <w:rPr>
            <w:rStyle w:val="Hyperlink"/>
            <w:rFonts w:asciiTheme="majorHAnsi" w:hAnsiTheme="majorHAnsi"/>
            <w:sz w:val="22"/>
            <w:szCs w:val="22"/>
          </w:rPr>
          <w:t>H.R. 748</w:t>
        </w:r>
      </w:hyperlink>
      <w:r w:rsidR="00CE5F41" w:rsidRPr="002F19E1">
        <w:rPr>
          <w:rFonts w:asciiTheme="majorHAnsi" w:hAnsiTheme="majorHAnsi"/>
          <w:sz w:val="22"/>
          <w:szCs w:val="22"/>
        </w:rPr>
        <w:t>)</w:t>
      </w:r>
      <w:r w:rsidR="006679D5">
        <w:rPr>
          <w:rFonts w:asciiTheme="majorHAnsi" w:hAnsiTheme="majorHAnsi"/>
          <w:sz w:val="22"/>
          <w:szCs w:val="22"/>
        </w:rPr>
        <w:t>,</w:t>
      </w:r>
      <w:r w:rsidR="00CE5F41" w:rsidRPr="002F19E1">
        <w:rPr>
          <w:rFonts w:asciiTheme="majorHAnsi" w:hAnsiTheme="majorHAnsi"/>
          <w:sz w:val="22"/>
          <w:szCs w:val="22"/>
        </w:rPr>
        <w:t xml:space="preserve"> represents a sweeping investment in state and local government, major industries, small and midsize businesses, public health and disaster relief programs. It includes </w:t>
      </w:r>
      <w:r w:rsidR="006679D5" w:rsidRPr="006679D5">
        <w:rPr>
          <w:rFonts w:asciiTheme="majorHAnsi" w:hAnsiTheme="majorHAnsi"/>
          <w:sz w:val="22"/>
          <w:szCs w:val="22"/>
          <w:highlight w:val="yellow"/>
        </w:rPr>
        <w:t xml:space="preserve">$30.75 billion in </w:t>
      </w:r>
      <w:r w:rsidR="006679D5" w:rsidRPr="00DB7072">
        <w:rPr>
          <w:rFonts w:asciiTheme="majorHAnsi" w:hAnsiTheme="majorHAnsi" w:cstheme="majorHAnsi"/>
          <w:sz w:val="22"/>
          <w:szCs w:val="22"/>
          <w:highlight w:val="yellow"/>
        </w:rPr>
        <w:t xml:space="preserve">stabilization funding for early childhood education, school districts, and higher education; a </w:t>
      </w:r>
      <w:hyperlink r:id="rId15" w:history="1">
        <w:r w:rsidR="006679D5" w:rsidRPr="00DB7072">
          <w:rPr>
            <w:rStyle w:val="Hyperlink"/>
            <w:rFonts w:asciiTheme="majorHAnsi" w:hAnsiTheme="majorHAnsi" w:cstheme="majorHAnsi"/>
            <w:sz w:val="22"/>
            <w:szCs w:val="22"/>
            <w:highlight w:val="yellow"/>
          </w:rPr>
          <w:t>$150 billion</w:t>
        </w:r>
      </w:hyperlink>
      <w:r w:rsidR="006679D5" w:rsidRPr="00DB7072">
        <w:rPr>
          <w:rFonts w:asciiTheme="majorHAnsi" w:hAnsiTheme="majorHAnsi" w:cstheme="majorHAnsi"/>
          <w:sz w:val="22"/>
          <w:szCs w:val="22"/>
          <w:highlight w:val="yellow"/>
        </w:rPr>
        <w:t xml:space="preserve"> stabilization fund for </w:t>
      </w:r>
      <w:r w:rsidR="00DB7072" w:rsidRPr="00DB7072">
        <w:rPr>
          <w:rFonts w:asciiTheme="majorHAnsi" w:eastAsia="Calibri" w:hAnsiTheme="majorHAnsi" w:cstheme="majorHAnsi"/>
          <w:sz w:val="22"/>
          <w:szCs w:val="22"/>
          <w:highlight w:val="yellow"/>
        </w:rPr>
        <w:t>States, Tribal governments, and units of local government</w:t>
      </w:r>
      <w:r w:rsidR="006679D5">
        <w:rPr>
          <w:rFonts w:asciiTheme="majorHAnsi" w:hAnsiTheme="majorHAnsi"/>
          <w:sz w:val="22"/>
          <w:szCs w:val="22"/>
        </w:rPr>
        <w:t xml:space="preserve">; </w:t>
      </w:r>
      <w:r w:rsidRPr="002F19E1">
        <w:rPr>
          <w:rFonts w:asciiTheme="majorHAnsi" w:hAnsiTheme="majorHAnsi"/>
          <w:sz w:val="22"/>
          <w:szCs w:val="22"/>
        </w:rPr>
        <w:t>$117 billion for hospitals and veterans’ health care; $11 billion for vaccines, therapeutics, diagnostics, and other preparedness needs; $4.3 billion for the Centers for Disease Control; $16 billion for the Strategic National Stockpile; and</w:t>
      </w:r>
      <w:r w:rsidR="00DB7072">
        <w:rPr>
          <w:rFonts w:asciiTheme="majorHAnsi" w:hAnsiTheme="majorHAnsi"/>
          <w:sz w:val="22"/>
          <w:szCs w:val="22"/>
        </w:rPr>
        <w:t>,</w:t>
      </w:r>
      <w:r w:rsidRPr="002F19E1">
        <w:rPr>
          <w:rFonts w:asciiTheme="majorHAnsi" w:hAnsiTheme="majorHAnsi"/>
          <w:sz w:val="22"/>
          <w:szCs w:val="22"/>
        </w:rPr>
        <w:t xml:space="preserve"> $45 billion for FEMA disaster relief fund, among other things. More than 80 percent of the total funding provided in the coronavirus emergency supplemental appropriations division of the package will go directly to state and local governments. The following table only covers the law’s education provisions and select other provisions relevant to education leaders. </w:t>
      </w:r>
    </w:p>
    <w:p w14:paraId="00000044" w14:textId="3E4B398A" w:rsidR="003602A0" w:rsidRDefault="003602A0">
      <w:pPr>
        <w:rPr>
          <w:rFonts w:asciiTheme="majorHAnsi" w:hAnsiTheme="majorHAnsi"/>
          <w:sz w:val="20"/>
          <w:szCs w:val="20"/>
        </w:rPr>
      </w:pPr>
    </w:p>
    <w:p w14:paraId="66EB2717" w14:textId="6C244A48" w:rsidR="00CE5F41" w:rsidRPr="00CE5F41" w:rsidRDefault="00CE5F41">
      <w:pPr>
        <w:rPr>
          <w:rFonts w:asciiTheme="majorHAnsi" w:hAnsiTheme="majorHAnsi"/>
          <w:b/>
          <w:bCs/>
          <w:i/>
          <w:iCs/>
          <w:sz w:val="20"/>
          <w:szCs w:val="20"/>
        </w:rPr>
      </w:pPr>
      <w:r w:rsidRPr="00CE5F41">
        <w:rPr>
          <w:rFonts w:asciiTheme="majorHAnsi" w:hAnsiTheme="majorHAnsi"/>
          <w:b/>
          <w:bCs/>
          <w:i/>
          <w:iCs/>
          <w:sz w:val="20"/>
          <w:szCs w:val="20"/>
        </w:rPr>
        <w:t>Direct Education Provisions and other Programs of Interest to Education Leaders</w:t>
      </w:r>
    </w:p>
    <w:p w14:paraId="6301794D" w14:textId="77777777" w:rsidR="00CE5F41" w:rsidRPr="00B13E33" w:rsidRDefault="00CE5F41">
      <w:pPr>
        <w:rPr>
          <w:rFonts w:asciiTheme="majorHAnsi" w:hAnsiTheme="majorHAnsi"/>
          <w:sz w:val="20"/>
          <w:szCs w:val="20"/>
        </w:rPr>
      </w:pPr>
    </w:p>
    <w:tbl>
      <w:tblPr>
        <w:tblStyle w:val="TableGrid"/>
        <w:tblW w:w="0" w:type="auto"/>
        <w:tblLook w:val="04A0" w:firstRow="1" w:lastRow="0" w:firstColumn="1" w:lastColumn="0" w:noHBand="0" w:noVBand="1"/>
      </w:tblPr>
      <w:tblGrid>
        <w:gridCol w:w="4675"/>
        <w:gridCol w:w="4675"/>
      </w:tblGrid>
      <w:tr w:rsidR="0088042B" w:rsidRPr="00B13E33" w14:paraId="53BFA06D" w14:textId="77777777" w:rsidTr="0088042B">
        <w:tc>
          <w:tcPr>
            <w:tcW w:w="4675" w:type="dxa"/>
          </w:tcPr>
          <w:p w14:paraId="151DD8EE" w14:textId="16B94A39" w:rsidR="0088042B" w:rsidRDefault="0088042B" w:rsidP="0088042B">
            <w:pPr>
              <w:rPr>
                <w:rFonts w:asciiTheme="majorHAnsi" w:hAnsiTheme="majorHAnsi"/>
                <w:b/>
                <w:sz w:val="20"/>
                <w:szCs w:val="20"/>
              </w:rPr>
            </w:pPr>
            <w:r w:rsidRPr="00B13E33">
              <w:rPr>
                <w:rFonts w:asciiTheme="majorHAnsi" w:hAnsiTheme="majorHAnsi"/>
                <w:b/>
                <w:sz w:val="20"/>
                <w:szCs w:val="20"/>
              </w:rPr>
              <w:t>Funding: Education Stabilization Fund ($30.75 billion for Three Accounts</w:t>
            </w:r>
            <w:r w:rsidR="00CE5F41">
              <w:rPr>
                <w:rFonts w:asciiTheme="majorHAnsi" w:hAnsiTheme="majorHAnsi"/>
                <w:b/>
                <w:sz w:val="20"/>
                <w:szCs w:val="20"/>
              </w:rPr>
              <w:t>; Available until 9.30.21</w:t>
            </w:r>
            <w:r w:rsidRPr="00B13E33">
              <w:rPr>
                <w:rFonts w:asciiTheme="majorHAnsi" w:hAnsiTheme="majorHAnsi"/>
                <w:b/>
                <w:sz w:val="20"/>
                <w:szCs w:val="20"/>
              </w:rPr>
              <w:t>)</w:t>
            </w:r>
          </w:p>
          <w:p w14:paraId="6AF5C616" w14:textId="77777777" w:rsidR="00B13E33" w:rsidRPr="00B13E33" w:rsidRDefault="00B13E33" w:rsidP="0088042B">
            <w:pPr>
              <w:rPr>
                <w:rFonts w:asciiTheme="majorHAnsi" w:hAnsiTheme="majorHAnsi"/>
                <w:b/>
                <w:sz w:val="20"/>
                <w:szCs w:val="20"/>
              </w:rPr>
            </w:pPr>
          </w:p>
          <w:p w14:paraId="3517E932" w14:textId="3934C80B" w:rsidR="0088042B" w:rsidRDefault="0088042B" w:rsidP="0088042B">
            <w:p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Th</w:t>
            </w:r>
            <w:r w:rsidR="00CE5F41">
              <w:rPr>
                <w:rFonts w:asciiTheme="majorHAnsi" w:hAnsiTheme="majorHAnsi"/>
                <w:sz w:val="20"/>
                <w:szCs w:val="20"/>
              </w:rPr>
              <w:t xml:space="preserve">e law’s $30.75 billion education stabilization </w:t>
            </w:r>
            <w:r w:rsidRPr="00B13E33">
              <w:rPr>
                <w:rFonts w:asciiTheme="majorHAnsi" w:hAnsiTheme="majorHAnsi"/>
                <w:sz w:val="20"/>
                <w:szCs w:val="20"/>
              </w:rPr>
              <w:t>fund</w:t>
            </w:r>
            <w:r w:rsidR="00CE5F41">
              <w:rPr>
                <w:rFonts w:asciiTheme="majorHAnsi" w:hAnsiTheme="majorHAnsi"/>
                <w:sz w:val="20"/>
                <w:szCs w:val="20"/>
              </w:rPr>
              <w:t xml:space="preserve">ing </w:t>
            </w:r>
            <w:r w:rsidRPr="00B13E33">
              <w:rPr>
                <w:rFonts w:asciiTheme="majorHAnsi" w:hAnsiTheme="majorHAnsi"/>
                <w:sz w:val="20"/>
                <w:szCs w:val="20"/>
              </w:rPr>
              <w:t xml:space="preserve">is divided </w:t>
            </w:r>
            <w:r w:rsidR="00CE5F41">
              <w:rPr>
                <w:rFonts w:asciiTheme="majorHAnsi" w:hAnsiTheme="majorHAnsi"/>
                <w:sz w:val="20"/>
                <w:szCs w:val="20"/>
              </w:rPr>
              <w:t>among</w:t>
            </w:r>
            <w:r w:rsidRPr="00B13E33">
              <w:rPr>
                <w:rFonts w:asciiTheme="majorHAnsi" w:hAnsiTheme="majorHAnsi"/>
                <w:sz w:val="20"/>
                <w:szCs w:val="20"/>
              </w:rPr>
              <w:t xml:space="preserve"> three accounts:</w:t>
            </w:r>
          </w:p>
          <w:p w14:paraId="6276A734" w14:textId="77777777" w:rsidR="00CE5F41" w:rsidRPr="00B13E33" w:rsidRDefault="00CE5F41" w:rsidP="0088042B">
            <w:pPr>
              <w:pBdr>
                <w:top w:val="nil"/>
                <w:left w:val="nil"/>
                <w:bottom w:val="nil"/>
                <w:right w:val="nil"/>
                <w:between w:val="nil"/>
              </w:pBdr>
              <w:rPr>
                <w:rFonts w:asciiTheme="majorHAnsi" w:hAnsiTheme="majorHAnsi"/>
                <w:sz w:val="20"/>
                <w:szCs w:val="20"/>
              </w:rPr>
            </w:pPr>
          </w:p>
          <w:p w14:paraId="7159E89F" w14:textId="77777777" w:rsidR="0088042B" w:rsidRPr="00B13E33" w:rsidRDefault="0088042B" w:rsidP="0088042B">
            <w:pPr>
              <w:numPr>
                <w:ilvl w:val="0"/>
                <w:numId w:val="5"/>
              </w:numPr>
              <w:pBdr>
                <w:top w:val="nil"/>
                <w:left w:val="nil"/>
                <w:bottom w:val="nil"/>
                <w:right w:val="nil"/>
                <w:between w:val="nil"/>
              </w:pBdr>
              <w:rPr>
                <w:rFonts w:asciiTheme="majorHAnsi" w:hAnsiTheme="majorHAnsi"/>
                <w:i/>
                <w:sz w:val="20"/>
                <w:szCs w:val="20"/>
              </w:rPr>
            </w:pPr>
            <w:r w:rsidRPr="00B13E33">
              <w:rPr>
                <w:rFonts w:asciiTheme="majorHAnsi" w:hAnsiTheme="majorHAnsi"/>
                <w:i/>
                <w:sz w:val="20"/>
                <w:szCs w:val="20"/>
              </w:rPr>
              <w:t>The Governor’s Emergency Education Relief Fund ($3 billion)</w:t>
            </w:r>
          </w:p>
          <w:p w14:paraId="213E0437" w14:textId="7CF96289" w:rsidR="0088042B" w:rsidRDefault="0088042B" w:rsidP="0088042B">
            <w:pPr>
              <w:numPr>
                <w:ilvl w:val="1"/>
                <w:numId w:val="5"/>
              </w:num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This fund may be used by Governors to assist LEAs, IHEs, early childhood education/childcare entities that are hardest hit by the emergency to continue to provide educational services to their students. 60% of this is distributed based on the state’s relative population of individuals aged 5-24.40% will be distributed based on the basis of the relative total population.</w:t>
            </w:r>
          </w:p>
          <w:p w14:paraId="06460A26" w14:textId="77777777" w:rsidR="00CE5F41" w:rsidRPr="00B13E33" w:rsidRDefault="00CE5F41" w:rsidP="00CE5F41">
            <w:pPr>
              <w:pBdr>
                <w:top w:val="nil"/>
                <w:left w:val="nil"/>
                <w:bottom w:val="nil"/>
                <w:right w:val="nil"/>
                <w:between w:val="nil"/>
              </w:pBdr>
              <w:ind w:left="1440"/>
              <w:rPr>
                <w:rFonts w:asciiTheme="majorHAnsi" w:hAnsiTheme="majorHAnsi"/>
                <w:sz w:val="20"/>
                <w:szCs w:val="20"/>
              </w:rPr>
            </w:pPr>
          </w:p>
          <w:p w14:paraId="63346D8C" w14:textId="444B2012" w:rsidR="0088042B" w:rsidRPr="00B13E33" w:rsidRDefault="0088042B" w:rsidP="0088042B">
            <w:pPr>
              <w:numPr>
                <w:ilvl w:val="0"/>
                <w:numId w:val="5"/>
              </w:numPr>
              <w:pBdr>
                <w:top w:val="nil"/>
                <w:left w:val="nil"/>
                <w:bottom w:val="nil"/>
                <w:right w:val="nil"/>
                <w:between w:val="nil"/>
              </w:pBdr>
              <w:rPr>
                <w:rFonts w:asciiTheme="majorHAnsi" w:hAnsiTheme="majorHAnsi"/>
                <w:i/>
                <w:sz w:val="20"/>
                <w:szCs w:val="20"/>
              </w:rPr>
            </w:pPr>
            <w:r w:rsidRPr="00B13E33">
              <w:rPr>
                <w:rFonts w:asciiTheme="majorHAnsi" w:hAnsiTheme="majorHAnsi"/>
                <w:i/>
                <w:sz w:val="20"/>
                <w:szCs w:val="20"/>
              </w:rPr>
              <w:t>The Elementary and Secondary School Emergency Relief Fund ($13.</w:t>
            </w:r>
            <w:r w:rsidR="00F369C4">
              <w:rPr>
                <w:rFonts w:asciiTheme="majorHAnsi" w:hAnsiTheme="majorHAnsi"/>
                <w:i/>
                <w:sz w:val="20"/>
                <w:szCs w:val="20"/>
              </w:rPr>
              <w:t>5</w:t>
            </w:r>
            <w:r w:rsidRPr="00B13E33">
              <w:rPr>
                <w:rFonts w:asciiTheme="majorHAnsi" w:hAnsiTheme="majorHAnsi"/>
                <w:i/>
                <w:sz w:val="20"/>
                <w:szCs w:val="20"/>
              </w:rPr>
              <w:t xml:space="preserve"> billion)</w:t>
            </w:r>
          </w:p>
          <w:p w14:paraId="6D5B7D35" w14:textId="56506473" w:rsidR="0088042B" w:rsidRDefault="0088042B" w:rsidP="0088042B">
            <w:pPr>
              <w:numPr>
                <w:ilvl w:val="1"/>
                <w:numId w:val="5"/>
              </w:num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 xml:space="preserve">These funds may be used for any activity authorized by IDEA, ESSA, Perkins CTE, McKinney Vento, Native Hawaiian Education Act, Alaska Native Educational Equity, as well as a number of emergency activities, including for </w:t>
            </w:r>
            <w:r w:rsidR="00FE2FE3">
              <w:rPr>
                <w:rFonts w:asciiTheme="majorHAnsi" w:hAnsiTheme="majorHAnsi"/>
                <w:sz w:val="20"/>
                <w:szCs w:val="20"/>
              </w:rPr>
              <w:t>online learning</w:t>
            </w:r>
            <w:r w:rsidRPr="00B13E33">
              <w:rPr>
                <w:rFonts w:asciiTheme="majorHAnsi" w:hAnsiTheme="majorHAnsi"/>
                <w:sz w:val="20"/>
                <w:szCs w:val="20"/>
              </w:rPr>
              <w:t xml:space="preserve">. These funds will be distributed </w:t>
            </w:r>
            <w:r w:rsidR="00CE5F41">
              <w:rPr>
                <w:rFonts w:asciiTheme="majorHAnsi" w:hAnsiTheme="majorHAnsi"/>
                <w:sz w:val="20"/>
                <w:szCs w:val="20"/>
              </w:rPr>
              <w:t>according to each state</w:t>
            </w:r>
            <w:r w:rsidR="00DB7072">
              <w:rPr>
                <w:rFonts w:asciiTheme="majorHAnsi" w:hAnsiTheme="majorHAnsi"/>
                <w:sz w:val="20"/>
                <w:szCs w:val="20"/>
              </w:rPr>
              <w:t>’</w:t>
            </w:r>
            <w:r w:rsidR="00CE5F41">
              <w:rPr>
                <w:rFonts w:asciiTheme="majorHAnsi" w:hAnsiTheme="majorHAnsi"/>
                <w:sz w:val="20"/>
                <w:szCs w:val="20"/>
              </w:rPr>
              <w:t xml:space="preserve">s </w:t>
            </w:r>
            <w:r w:rsidR="00FE2FE3">
              <w:rPr>
                <w:rFonts w:asciiTheme="majorHAnsi" w:hAnsiTheme="majorHAnsi"/>
                <w:sz w:val="20"/>
                <w:szCs w:val="20"/>
              </w:rPr>
              <w:t xml:space="preserve">Title </w:t>
            </w:r>
            <w:r w:rsidR="00CE5F41">
              <w:rPr>
                <w:rFonts w:asciiTheme="majorHAnsi" w:hAnsiTheme="majorHAnsi"/>
                <w:sz w:val="20"/>
                <w:szCs w:val="20"/>
              </w:rPr>
              <w:t>I allocation for the most recent fiscal year</w:t>
            </w:r>
            <w:r w:rsidR="00FE2FE3">
              <w:rPr>
                <w:rFonts w:asciiTheme="majorHAnsi" w:hAnsiTheme="majorHAnsi"/>
                <w:sz w:val="20"/>
                <w:szCs w:val="20"/>
              </w:rPr>
              <w:t xml:space="preserve">; </w:t>
            </w:r>
            <w:r w:rsidRPr="00B13E33">
              <w:rPr>
                <w:rFonts w:asciiTheme="majorHAnsi" w:hAnsiTheme="majorHAnsi"/>
                <w:sz w:val="20"/>
                <w:szCs w:val="20"/>
              </w:rPr>
              <w:t xml:space="preserve">at least 90% of the amount must be </w:t>
            </w:r>
            <w:r w:rsidRPr="00B13E33">
              <w:rPr>
                <w:rFonts w:asciiTheme="majorHAnsi" w:hAnsiTheme="majorHAnsi"/>
                <w:sz w:val="20"/>
                <w:szCs w:val="20"/>
              </w:rPr>
              <w:lastRenderedPageBreak/>
              <w:t xml:space="preserve">distributed </w:t>
            </w:r>
            <w:r w:rsidR="00FE2FE3">
              <w:rPr>
                <w:rFonts w:asciiTheme="majorHAnsi" w:hAnsiTheme="majorHAnsi"/>
                <w:sz w:val="20"/>
                <w:szCs w:val="20"/>
              </w:rPr>
              <w:t>to districts</w:t>
            </w:r>
            <w:r w:rsidR="00CE5F41">
              <w:rPr>
                <w:rFonts w:asciiTheme="majorHAnsi" w:hAnsiTheme="majorHAnsi"/>
                <w:sz w:val="20"/>
                <w:szCs w:val="20"/>
              </w:rPr>
              <w:t>, in proportion to the district’s Title I</w:t>
            </w:r>
            <w:r w:rsidRPr="00B13E33">
              <w:rPr>
                <w:rFonts w:asciiTheme="majorHAnsi" w:hAnsiTheme="majorHAnsi"/>
                <w:sz w:val="20"/>
                <w:szCs w:val="20"/>
              </w:rPr>
              <w:t xml:space="preserve"> </w:t>
            </w:r>
            <w:r w:rsidR="00CE5F41">
              <w:rPr>
                <w:rFonts w:asciiTheme="majorHAnsi" w:hAnsiTheme="majorHAnsi"/>
                <w:sz w:val="20"/>
                <w:szCs w:val="20"/>
              </w:rPr>
              <w:t>allocation for the most recent fiscal year. States may reserve .</w:t>
            </w:r>
            <w:r w:rsidR="0032705E">
              <w:rPr>
                <w:rFonts w:asciiTheme="majorHAnsi" w:hAnsiTheme="majorHAnsi"/>
                <w:sz w:val="20"/>
                <w:szCs w:val="20"/>
              </w:rPr>
              <w:t>5% for administration and the remainder must be used for emergency activities determined by the SEA.</w:t>
            </w:r>
          </w:p>
          <w:p w14:paraId="444C6505" w14:textId="77777777" w:rsidR="00CE5F41" w:rsidRPr="00B13E33" w:rsidRDefault="00CE5F41" w:rsidP="00CE5F41">
            <w:pPr>
              <w:pBdr>
                <w:top w:val="nil"/>
                <w:left w:val="nil"/>
                <w:bottom w:val="nil"/>
                <w:right w:val="nil"/>
                <w:between w:val="nil"/>
              </w:pBdr>
              <w:ind w:left="720"/>
              <w:rPr>
                <w:rFonts w:asciiTheme="majorHAnsi" w:hAnsiTheme="majorHAnsi"/>
                <w:sz w:val="20"/>
                <w:szCs w:val="20"/>
              </w:rPr>
            </w:pPr>
          </w:p>
          <w:p w14:paraId="69DF42ED" w14:textId="0BBD5255" w:rsidR="0088042B" w:rsidRPr="00B13E33" w:rsidRDefault="0088042B" w:rsidP="0088042B">
            <w:pPr>
              <w:numPr>
                <w:ilvl w:val="0"/>
                <w:numId w:val="5"/>
              </w:numPr>
              <w:pBdr>
                <w:top w:val="nil"/>
                <w:left w:val="nil"/>
                <w:bottom w:val="nil"/>
                <w:right w:val="nil"/>
                <w:between w:val="nil"/>
              </w:pBdr>
              <w:rPr>
                <w:rFonts w:asciiTheme="majorHAnsi" w:hAnsiTheme="majorHAnsi"/>
                <w:i/>
                <w:sz w:val="20"/>
                <w:szCs w:val="20"/>
              </w:rPr>
            </w:pPr>
            <w:r w:rsidRPr="00B13E33">
              <w:rPr>
                <w:rFonts w:asciiTheme="majorHAnsi" w:hAnsiTheme="majorHAnsi"/>
                <w:i/>
                <w:sz w:val="20"/>
                <w:szCs w:val="20"/>
              </w:rPr>
              <w:t>Higher Education Emergency Relief Fund ($14</w:t>
            </w:r>
            <w:r w:rsidR="00F369C4">
              <w:rPr>
                <w:rFonts w:asciiTheme="majorHAnsi" w:hAnsiTheme="majorHAnsi"/>
                <w:i/>
                <w:sz w:val="20"/>
                <w:szCs w:val="20"/>
              </w:rPr>
              <w:t>.25</w:t>
            </w:r>
            <w:r w:rsidRPr="00B13E33">
              <w:rPr>
                <w:rFonts w:asciiTheme="majorHAnsi" w:hAnsiTheme="majorHAnsi"/>
                <w:i/>
                <w:sz w:val="20"/>
                <w:szCs w:val="20"/>
              </w:rPr>
              <w:t xml:space="preserve"> billion)</w:t>
            </w:r>
          </w:p>
          <w:p w14:paraId="6D73D90A" w14:textId="4201F70F" w:rsidR="0032705E" w:rsidRPr="0032705E" w:rsidRDefault="0032705E" w:rsidP="0032705E">
            <w:pPr>
              <w:numPr>
                <w:ilvl w:val="1"/>
                <w:numId w:val="5"/>
              </w:numPr>
              <w:pBdr>
                <w:top w:val="nil"/>
                <w:left w:val="nil"/>
                <w:bottom w:val="nil"/>
                <w:right w:val="nil"/>
                <w:between w:val="nil"/>
              </w:pBdr>
              <w:rPr>
                <w:rFonts w:asciiTheme="majorHAnsi" w:hAnsiTheme="majorHAnsi"/>
                <w:sz w:val="20"/>
                <w:szCs w:val="20"/>
              </w:rPr>
            </w:pPr>
            <w:r>
              <w:rPr>
                <w:rFonts w:asciiTheme="majorHAnsi" w:hAnsiTheme="majorHAnsi"/>
                <w:sz w:val="20"/>
                <w:szCs w:val="20"/>
              </w:rPr>
              <w:t xml:space="preserve">Secretary allocates </w:t>
            </w:r>
            <w:r w:rsidR="00BE1261">
              <w:rPr>
                <w:rFonts w:asciiTheme="majorHAnsi" w:hAnsiTheme="majorHAnsi"/>
                <w:sz w:val="20"/>
                <w:szCs w:val="20"/>
              </w:rPr>
              <w:t xml:space="preserve"> - using Title IV distribution mechanism - </w:t>
            </w:r>
            <w:r w:rsidRPr="0032705E">
              <w:rPr>
                <w:rFonts w:asciiTheme="majorHAnsi" w:hAnsiTheme="majorHAnsi"/>
                <w:sz w:val="20"/>
                <w:szCs w:val="20"/>
              </w:rPr>
              <w:t>90</w:t>
            </w:r>
            <w:r w:rsidR="009071F7">
              <w:rPr>
                <w:rFonts w:asciiTheme="majorHAnsi" w:hAnsiTheme="majorHAnsi"/>
                <w:sz w:val="20"/>
                <w:szCs w:val="20"/>
              </w:rPr>
              <w:t>%</w:t>
            </w:r>
            <w:r>
              <w:rPr>
                <w:rFonts w:asciiTheme="majorHAnsi" w:hAnsiTheme="majorHAnsi"/>
                <w:sz w:val="20"/>
                <w:szCs w:val="20"/>
              </w:rPr>
              <w:t xml:space="preserve"> </w:t>
            </w:r>
            <w:r w:rsidRPr="0032705E">
              <w:rPr>
                <w:rFonts w:asciiTheme="majorHAnsi" w:hAnsiTheme="majorHAnsi"/>
                <w:sz w:val="20"/>
                <w:szCs w:val="20"/>
              </w:rPr>
              <w:t xml:space="preserve">to each </w:t>
            </w:r>
            <w:r>
              <w:rPr>
                <w:rFonts w:asciiTheme="majorHAnsi" w:hAnsiTheme="majorHAnsi"/>
                <w:sz w:val="20"/>
                <w:szCs w:val="20"/>
              </w:rPr>
              <w:t>IHE</w:t>
            </w:r>
            <w:r w:rsidRPr="0032705E">
              <w:rPr>
                <w:rFonts w:asciiTheme="majorHAnsi" w:hAnsiTheme="majorHAnsi"/>
                <w:sz w:val="20"/>
                <w:szCs w:val="20"/>
              </w:rPr>
              <w:t xml:space="preserve"> to prevent, prepare for, and respond to coronavirus</w:t>
            </w:r>
            <w:r>
              <w:rPr>
                <w:rFonts w:asciiTheme="majorHAnsi" w:hAnsiTheme="majorHAnsi"/>
                <w:sz w:val="20"/>
                <w:szCs w:val="20"/>
              </w:rPr>
              <w:t xml:space="preserve">. Apportioned by: </w:t>
            </w:r>
            <w:r w:rsidRPr="0032705E">
              <w:rPr>
                <w:rFonts w:asciiTheme="majorHAnsi" w:hAnsiTheme="majorHAnsi"/>
                <w:sz w:val="20"/>
                <w:szCs w:val="20"/>
              </w:rPr>
              <w:t>75</w:t>
            </w:r>
            <w:r>
              <w:rPr>
                <w:rFonts w:asciiTheme="majorHAnsi" w:hAnsiTheme="majorHAnsi"/>
                <w:sz w:val="20"/>
                <w:szCs w:val="20"/>
              </w:rPr>
              <w:t>%</w:t>
            </w:r>
            <w:r w:rsidRPr="0032705E">
              <w:rPr>
                <w:rFonts w:asciiTheme="majorHAnsi" w:hAnsiTheme="majorHAnsi"/>
                <w:sz w:val="20"/>
                <w:szCs w:val="20"/>
              </w:rPr>
              <w:t xml:space="preserve"> </w:t>
            </w:r>
            <w:r>
              <w:rPr>
                <w:rFonts w:asciiTheme="majorHAnsi" w:hAnsiTheme="majorHAnsi"/>
                <w:sz w:val="20"/>
                <w:szCs w:val="20"/>
              </w:rPr>
              <w:t xml:space="preserve">based on </w:t>
            </w:r>
            <w:r w:rsidRPr="0032705E">
              <w:rPr>
                <w:rFonts w:asciiTheme="majorHAnsi" w:hAnsiTheme="majorHAnsi"/>
                <w:sz w:val="20"/>
                <w:szCs w:val="20"/>
              </w:rPr>
              <w:t xml:space="preserve">relative share of full-time equivalent </w:t>
            </w:r>
            <w:r>
              <w:rPr>
                <w:rFonts w:asciiTheme="majorHAnsi" w:hAnsiTheme="majorHAnsi"/>
                <w:sz w:val="20"/>
                <w:szCs w:val="20"/>
              </w:rPr>
              <w:t xml:space="preserve">Pell </w:t>
            </w:r>
            <w:r w:rsidRPr="0032705E">
              <w:rPr>
                <w:rFonts w:asciiTheme="majorHAnsi" w:hAnsiTheme="majorHAnsi"/>
                <w:sz w:val="20"/>
                <w:szCs w:val="20"/>
              </w:rPr>
              <w:t xml:space="preserve">enrollment </w:t>
            </w:r>
            <w:r>
              <w:rPr>
                <w:rFonts w:asciiTheme="majorHAnsi" w:hAnsiTheme="majorHAnsi"/>
                <w:sz w:val="20"/>
                <w:szCs w:val="20"/>
              </w:rPr>
              <w:t xml:space="preserve">students </w:t>
            </w:r>
            <w:r w:rsidRPr="0032705E">
              <w:rPr>
                <w:rFonts w:asciiTheme="majorHAnsi" w:hAnsiTheme="majorHAnsi"/>
                <w:sz w:val="20"/>
                <w:szCs w:val="20"/>
              </w:rPr>
              <w:t xml:space="preserve">who are not exclusively enrolled in distance education courses prior to the coronavirus emergency; </w:t>
            </w:r>
            <w:r>
              <w:rPr>
                <w:rFonts w:asciiTheme="majorHAnsi" w:hAnsiTheme="majorHAnsi"/>
                <w:sz w:val="20"/>
                <w:szCs w:val="20"/>
              </w:rPr>
              <w:t xml:space="preserve">AND </w:t>
            </w:r>
            <w:r w:rsidRPr="0032705E">
              <w:rPr>
                <w:rFonts w:asciiTheme="majorHAnsi" w:hAnsiTheme="majorHAnsi"/>
                <w:sz w:val="20"/>
                <w:szCs w:val="20"/>
              </w:rPr>
              <w:t>25</w:t>
            </w:r>
            <w:r>
              <w:rPr>
                <w:rFonts w:asciiTheme="majorHAnsi" w:hAnsiTheme="majorHAnsi"/>
                <w:sz w:val="20"/>
                <w:szCs w:val="20"/>
              </w:rPr>
              <w:t xml:space="preserve">% </w:t>
            </w:r>
            <w:r w:rsidRPr="0032705E">
              <w:rPr>
                <w:rFonts w:asciiTheme="majorHAnsi" w:hAnsiTheme="majorHAnsi"/>
                <w:sz w:val="20"/>
                <w:szCs w:val="20"/>
              </w:rPr>
              <w:t xml:space="preserve">according to the relative share of </w:t>
            </w:r>
            <w:r>
              <w:rPr>
                <w:rFonts w:asciiTheme="majorHAnsi" w:hAnsiTheme="majorHAnsi"/>
                <w:sz w:val="20"/>
                <w:szCs w:val="20"/>
              </w:rPr>
              <w:t>FTE</w:t>
            </w:r>
            <w:r w:rsidRPr="0032705E">
              <w:rPr>
                <w:rFonts w:asciiTheme="majorHAnsi" w:hAnsiTheme="majorHAnsi"/>
                <w:sz w:val="20"/>
                <w:szCs w:val="20"/>
              </w:rPr>
              <w:t xml:space="preserve"> enrollment of students who were not </w:t>
            </w:r>
            <w:r>
              <w:rPr>
                <w:rFonts w:asciiTheme="majorHAnsi" w:hAnsiTheme="majorHAnsi"/>
                <w:sz w:val="20"/>
                <w:szCs w:val="20"/>
              </w:rPr>
              <w:t xml:space="preserve">Pell </w:t>
            </w:r>
            <w:r w:rsidRPr="0032705E">
              <w:rPr>
                <w:rFonts w:asciiTheme="majorHAnsi" w:hAnsiTheme="majorHAnsi"/>
                <w:sz w:val="20"/>
                <w:szCs w:val="20"/>
              </w:rPr>
              <w:t xml:space="preserve">who are not exclusively enrolled in distance education courses prior to the coronavirus emergency. </w:t>
            </w:r>
          </w:p>
          <w:p w14:paraId="3EBBB58C" w14:textId="5B440DFF" w:rsidR="009071F7" w:rsidRPr="009071F7" w:rsidRDefault="009071F7" w:rsidP="009071F7">
            <w:pPr>
              <w:numPr>
                <w:ilvl w:val="1"/>
                <w:numId w:val="5"/>
              </w:numPr>
              <w:pBdr>
                <w:top w:val="nil"/>
                <w:left w:val="nil"/>
                <w:bottom w:val="nil"/>
                <w:right w:val="nil"/>
                <w:between w:val="nil"/>
              </w:pBdr>
              <w:rPr>
                <w:rFonts w:asciiTheme="majorHAnsi" w:hAnsiTheme="majorHAnsi"/>
                <w:sz w:val="20"/>
                <w:szCs w:val="20"/>
              </w:rPr>
            </w:pPr>
            <w:r w:rsidRPr="009071F7">
              <w:rPr>
                <w:rFonts w:asciiTheme="majorHAnsi" w:hAnsiTheme="majorHAnsi"/>
                <w:sz w:val="20"/>
                <w:szCs w:val="20"/>
              </w:rPr>
              <w:t>7.5</w:t>
            </w:r>
            <w:r>
              <w:rPr>
                <w:rFonts w:asciiTheme="majorHAnsi" w:hAnsiTheme="majorHAnsi"/>
                <w:sz w:val="20"/>
                <w:szCs w:val="20"/>
              </w:rPr>
              <w:t xml:space="preserve">% </w:t>
            </w:r>
            <w:r w:rsidRPr="009071F7">
              <w:rPr>
                <w:rFonts w:asciiTheme="majorHAnsi" w:hAnsiTheme="majorHAnsi"/>
                <w:sz w:val="20"/>
                <w:szCs w:val="20"/>
              </w:rPr>
              <w:t>for additional awards under</w:t>
            </w:r>
            <w:r>
              <w:rPr>
                <w:rFonts w:asciiTheme="majorHAnsi" w:hAnsiTheme="majorHAnsi"/>
                <w:sz w:val="20"/>
                <w:szCs w:val="20"/>
              </w:rPr>
              <w:t xml:space="preserve"> Title III parts A and B, Title V parts A and B</w:t>
            </w:r>
            <w:r w:rsidRPr="009071F7">
              <w:rPr>
                <w:rFonts w:asciiTheme="majorHAnsi" w:hAnsiTheme="majorHAnsi"/>
                <w:sz w:val="20"/>
                <w:szCs w:val="20"/>
              </w:rPr>
              <w:t xml:space="preserve"> </w:t>
            </w:r>
            <w:r>
              <w:rPr>
                <w:rFonts w:asciiTheme="majorHAnsi" w:hAnsiTheme="majorHAnsi"/>
                <w:sz w:val="20"/>
                <w:szCs w:val="20"/>
              </w:rPr>
              <w:t xml:space="preserve">Title VII-A-4 to </w:t>
            </w:r>
            <w:r w:rsidRPr="009071F7">
              <w:rPr>
                <w:rFonts w:asciiTheme="majorHAnsi" w:hAnsiTheme="majorHAnsi"/>
                <w:sz w:val="20"/>
                <w:szCs w:val="20"/>
              </w:rPr>
              <w:t>address needs directly related to coronaviru</w:t>
            </w:r>
            <w:r>
              <w:rPr>
                <w:rFonts w:asciiTheme="majorHAnsi" w:hAnsiTheme="majorHAnsi"/>
                <w:sz w:val="20"/>
                <w:szCs w:val="20"/>
              </w:rPr>
              <w:t>s</w:t>
            </w:r>
            <w:r w:rsidRPr="009071F7">
              <w:rPr>
                <w:rFonts w:asciiTheme="majorHAnsi" w:hAnsiTheme="majorHAnsi"/>
                <w:sz w:val="20"/>
                <w:szCs w:val="20"/>
              </w:rPr>
              <w:t xml:space="preserve"> </w:t>
            </w:r>
          </w:p>
          <w:p w14:paraId="51E192B1" w14:textId="426EF64E" w:rsidR="0032705E" w:rsidRPr="009071F7" w:rsidRDefault="009071F7" w:rsidP="009071F7">
            <w:pPr>
              <w:numPr>
                <w:ilvl w:val="1"/>
                <w:numId w:val="5"/>
              </w:numPr>
              <w:pBdr>
                <w:top w:val="nil"/>
                <w:left w:val="nil"/>
                <w:bottom w:val="nil"/>
                <w:right w:val="nil"/>
                <w:between w:val="nil"/>
              </w:pBdr>
              <w:rPr>
                <w:rFonts w:asciiTheme="majorHAnsi" w:hAnsiTheme="majorHAnsi"/>
                <w:sz w:val="20"/>
                <w:szCs w:val="20"/>
              </w:rPr>
            </w:pPr>
            <w:r w:rsidRPr="009071F7">
              <w:rPr>
                <w:rFonts w:asciiTheme="majorHAnsi" w:hAnsiTheme="majorHAnsi"/>
                <w:sz w:val="20"/>
                <w:szCs w:val="20"/>
              </w:rPr>
              <w:t>2.5</w:t>
            </w:r>
            <w:r>
              <w:rPr>
                <w:rFonts w:asciiTheme="majorHAnsi" w:hAnsiTheme="majorHAnsi"/>
                <w:sz w:val="20"/>
                <w:szCs w:val="20"/>
              </w:rPr>
              <w:t xml:space="preserve">% </w:t>
            </w:r>
            <w:r w:rsidRPr="009071F7">
              <w:rPr>
                <w:rFonts w:asciiTheme="majorHAnsi" w:hAnsiTheme="majorHAnsi"/>
                <w:sz w:val="20"/>
                <w:szCs w:val="20"/>
              </w:rPr>
              <w:t xml:space="preserve">for </w:t>
            </w:r>
            <w:r>
              <w:rPr>
                <w:rFonts w:asciiTheme="majorHAnsi" w:hAnsiTheme="majorHAnsi"/>
                <w:sz w:val="20"/>
                <w:szCs w:val="20"/>
              </w:rPr>
              <w:t xml:space="preserve">Title VII </w:t>
            </w:r>
            <w:r w:rsidRPr="009071F7">
              <w:rPr>
                <w:rFonts w:asciiTheme="majorHAnsi" w:hAnsiTheme="majorHAnsi"/>
                <w:sz w:val="20"/>
                <w:szCs w:val="20"/>
              </w:rPr>
              <w:t xml:space="preserve">part B for </w:t>
            </w:r>
            <w:r>
              <w:rPr>
                <w:rFonts w:asciiTheme="majorHAnsi" w:hAnsiTheme="majorHAnsi"/>
                <w:sz w:val="20"/>
                <w:szCs w:val="20"/>
              </w:rPr>
              <w:t>IHEs</w:t>
            </w:r>
            <w:r w:rsidRPr="009071F7">
              <w:rPr>
                <w:rFonts w:asciiTheme="majorHAnsi" w:hAnsiTheme="majorHAnsi"/>
                <w:sz w:val="20"/>
                <w:szCs w:val="20"/>
              </w:rPr>
              <w:t xml:space="preserve"> that the Secretary determines have the greatest unmet needs related to coronavirus</w:t>
            </w:r>
            <w:r>
              <w:rPr>
                <w:rFonts w:asciiTheme="majorHAnsi" w:hAnsiTheme="majorHAnsi"/>
                <w:sz w:val="20"/>
                <w:szCs w:val="20"/>
              </w:rPr>
              <w:t>.</w:t>
            </w:r>
          </w:p>
          <w:p w14:paraId="1D48C071" w14:textId="0B0B733D" w:rsidR="00CE5F41" w:rsidRDefault="00CE5F41" w:rsidP="00CE5F41">
            <w:pPr>
              <w:pBdr>
                <w:top w:val="nil"/>
                <w:left w:val="nil"/>
                <w:bottom w:val="nil"/>
                <w:right w:val="nil"/>
                <w:between w:val="nil"/>
              </w:pBdr>
              <w:rPr>
                <w:rFonts w:asciiTheme="majorHAnsi" w:hAnsiTheme="majorHAnsi"/>
                <w:sz w:val="20"/>
                <w:szCs w:val="20"/>
              </w:rPr>
            </w:pPr>
          </w:p>
          <w:p w14:paraId="5150A9E0" w14:textId="4044015C" w:rsidR="00CE5F41" w:rsidRPr="00B13E33" w:rsidRDefault="00CE5F41" w:rsidP="00CE5F41">
            <w:p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 xml:space="preserve">The </w:t>
            </w:r>
            <w:r>
              <w:rPr>
                <w:rFonts w:asciiTheme="majorHAnsi" w:hAnsiTheme="majorHAnsi"/>
                <w:sz w:val="20"/>
                <w:szCs w:val="20"/>
              </w:rPr>
              <w:t>education stabilization funding</w:t>
            </w:r>
            <w:r w:rsidRPr="00B13E33">
              <w:rPr>
                <w:rFonts w:asciiTheme="majorHAnsi" w:hAnsiTheme="majorHAnsi"/>
                <w:sz w:val="20"/>
                <w:szCs w:val="20"/>
              </w:rPr>
              <w:t xml:space="preserve"> provides a special set aside</w:t>
            </w:r>
            <w:r w:rsidR="00A677F6">
              <w:rPr>
                <w:rFonts w:asciiTheme="majorHAnsi" w:hAnsiTheme="majorHAnsi"/>
                <w:sz w:val="20"/>
                <w:szCs w:val="20"/>
              </w:rPr>
              <w:t>, before the above allocations,</w:t>
            </w:r>
            <w:r w:rsidRPr="00B13E33">
              <w:rPr>
                <w:rFonts w:asciiTheme="majorHAnsi" w:hAnsiTheme="majorHAnsi"/>
                <w:sz w:val="20"/>
                <w:szCs w:val="20"/>
              </w:rPr>
              <w:t xml:space="preserve"> for outlying areas (0.5%), Bureau of Indian Affairs (0.5%), and the states that have been hardest hit by the pandemic (1%). If any funding is received under this Fund, each LEA, HEA, State, or other entity shall “to the greatest extent practicable” continue to pay employees and contractors during the period of closures or disruptions.</w:t>
            </w:r>
          </w:p>
          <w:p w14:paraId="2AE35279" w14:textId="77777777" w:rsidR="0088042B" w:rsidRDefault="0088042B">
            <w:pPr>
              <w:rPr>
                <w:rFonts w:asciiTheme="majorHAnsi" w:hAnsiTheme="majorHAnsi"/>
                <w:sz w:val="20"/>
                <w:szCs w:val="20"/>
              </w:rPr>
            </w:pPr>
          </w:p>
          <w:p w14:paraId="4AC2374E" w14:textId="4F8F91C0" w:rsidR="00B73C45" w:rsidRDefault="00B73C45" w:rsidP="00B73C45">
            <w:pPr>
              <w:rPr>
                <w:rFonts w:asciiTheme="majorHAnsi" w:hAnsiTheme="majorHAnsi"/>
                <w:sz w:val="20"/>
                <w:szCs w:val="20"/>
              </w:rPr>
            </w:pPr>
            <w:r w:rsidRPr="00B73C45">
              <w:rPr>
                <w:rFonts w:asciiTheme="majorHAnsi" w:hAnsiTheme="majorHAnsi"/>
                <w:b/>
                <w:bCs/>
                <w:sz w:val="20"/>
                <w:szCs w:val="20"/>
              </w:rPr>
              <w:t xml:space="preserve">Bureau </w:t>
            </w:r>
            <w:r>
              <w:rPr>
                <w:rFonts w:asciiTheme="majorHAnsi" w:hAnsiTheme="majorHAnsi"/>
                <w:b/>
                <w:bCs/>
                <w:sz w:val="20"/>
                <w:szCs w:val="20"/>
              </w:rPr>
              <w:t>o</w:t>
            </w:r>
            <w:r w:rsidRPr="00B73C45">
              <w:rPr>
                <w:rFonts w:asciiTheme="majorHAnsi" w:hAnsiTheme="majorHAnsi"/>
                <w:b/>
                <w:bCs/>
                <w:sz w:val="20"/>
                <w:szCs w:val="20"/>
              </w:rPr>
              <w:t>f Indian Education</w:t>
            </w:r>
            <w:r w:rsidRPr="00B73C45">
              <w:rPr>
                <w:rFonts w:asciiTheme="majorHAnsi" w:hAnsiTheme="majorHAnsi"/>
                <w:sz w:val="20"/>
                <w:szCs w:val="20"/>
              </w:rPr>
              <w:t xml:space="preserve"> </w:t>
            </w:r>
          </w:p>
          <w:p w14:paraId="5FDE900F" w14:textId="74F088EF" w:rsidR="00B73C45" w:rsidRPr="00B73C45" w:rsidRDefault="00B73C45" w:rsidP="00B73C45">
            <w:pPr>
              <w:pStyle w:val="ListParagraph"/>
              <w:numPr>
                <w:ilvl w:val="0"/>
                <w:numId w:val="31"/>
              </w:numPr>
              <w:rPr>
                <w:rFonts w:asciiTheme="majorHAnsi" w:hAnsiTheme="majorHAnsi"/>
                <w:sz w:val="20"/>
                <w:szCs w:val="20"/>
              </w:rPr>
            </w:pPr>
            <w:r w:rsidRPr="00B73C45">
              <w:rPr>
                <w:rFonts w:asciiTheme="majorHAnsi" w:hAnsiTheme="majorHAnsi"/>
                <w:sz w:val="20"/>
                <w:szCs w:val="20"/>
              </w:rPr>
              <w:t xml:space="preserve">$69 million for extended teacher and workforce salary needs; transportation needs associated with the pandemic; information technology, including teleworking capabilities; and aid for tribal colleges and universities. Separate funding is also provided </w:t>
            </w:r>
            <w:r w:rsidRPr="00B73C45">
              <w:rPr>
                <w:rFonts w:asciiTheme="majorHAnsi" w:hAnsiTheme="majorHAnsi"/>
                <w:sz w:val="20"/>
                <w:szCs w:val="20"/>
              </w:rPr>
              <w:lastRenderedPageBreak/>
              <w:t>to the Institute of American Indian Arts (IAIA) to respond to the pandemic.</w:t>
            </w:r>
          </w:p>
          <w:p w14:paraId="67FBE623" w14:textId="77777777" w:rsidR="00B73C45" w:rsidRDefault="00B73C45">
            <w:pPr>
              <w:rPr>
                <w:rFonts w:asciiTheme="majorHAnsi" w:hAnsiTheme="majorHAnsi"/>
                <w:sz w:val="20"/>
                <w:szCs w:val="20"/>
              </w:rPr>
            </w:pPr>
          </w:p>
          <w:p w14:paraId="343F49A4" w14:textId="77777777" w:rsidR="00F369C4" w:rsidRDefault="00F369C4" w:rsidP="00F369C4">
            <w:pPr>
              <w:rPr>
                <w:rFonts w:asciiTheme="majorHAnsi" w:hAnsiTheme="majorHAnsi"/>
                <w:sz w:val="20"/>
                <w:szCs w:val="20"/>
              </w:rPr>
            </w:pPr>
            <w:r w:rsidRPr="00F369C4">
              <w:rPr>
                <w:rFonts w:asciiTheme="majorHAnsi" w:hAnsiTheme="majorHAnsi"/>
                <w:b/>
                <w:bCs/>
                <w:sz w:val="20"/>
                <w:szCs w:val="20"/>
              </w:rPr>
              <w:t>Howard University</w:t>
            </w:r>
            <w:r w:rsidRPr="00F369C4">
              <w:rPr>
                <w:rFonts w:asciiTheme="majorHAnsi" w:hAnsiTheme="majorHAnsi"/>
                <w:sz w:val="20"/>
                <w:szCs w:val="20"/>
              </w:rPr>
              <w:t xml:space="preserve"> </w:t>
            </w:r>
          </w:p>
          <w:p w14:paraId="34DF2B46" w14:textId="77777777" w:rsid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 xml:space="preserve">$13 million in direct support for this federally-chartered HBCU, including support for affected students. </w:t>
            </w:r>
          </w:p>
          <w:p w14:paraId="21E3BD7B" w14:textId="77777777" w:rsidR="00F369C4" w:rsidRDefault="00F369C4" w:rsidP="00F369C4">
            <w:pPr>
              <w:rPr>
                <w:rFonts w:asciiTheme="majorHAnsi" w:hAnsiTheme="majorHAnsi"/>
                <w:sz w:val="20"/>
                <w:szCs w:val="20"/>
              </w:rPr>
            </w:pPr>
          </w:p>
          <w:p w14:paraId="7618DC01" w14:textId="77777777" w:rsidR="00F369C4" w:rsidRDefault="00F369C4" w:rsidP="00F369C4">
            <w:pPr>
              <w:rPr>
                <w:rFonts w:asciiTheme="majorHAnsi" w:hAnsiTheme="majorHAnsi"/>
                <w:sz w:val="20"/>
                <w:szCs w:val="20"/>
              </w:rPr>
            </w:pPr>
            <w:r w:rsidRPr="00F369C4">
              <w:rPr>
                <w:rFonts w:asciiTheme="majorHAnsi" w:hAnsiTheme="majorHAnsi"/>
                <w:b/>
                <w:bCs/>
                <w:sz w:val="20"/>
                <w:szCs w:val="20"/>
              </w:rPr>
              <w:t>Gallaudet University</w:t>
            </w:r>
            <w:r w:rsidRPr="00F369C4">
              <w:rPr>
                <w:rFonts w:asciiTheme="majorHAnsi" w:hAnsiTheme="majorHAnsi"/>
                <w:sz w:val="20"/>
                <w:szCs w:val="20"/>
              </w:rPr>
              <w:t xml:space="preserve"> </w:t>
            </w:r>
          </w:p>
          <w:p w14:paraId="44DD79DC" w14:textId="77777777" w:rsid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 xml:space="preserve">$7 million in direct support for this federally-chartered university, including support for affected students. </w:t>
            </w:r>
          </w:p>
          <w:p w14:paraId="746260FA" w14:textId="77777777" w:rsidR="00F369C4" w:rsidRDefault="00F369C4" w:rsidP="00F369C4">
            <w:pPr>
              <w:rPr>
                <w:rFonts w:asciiTheme="majorHAnsi" w:hAnsiTheme="majorHAnsi"/>
                <w:sz w:val="20"/>
                <w:szCs w:val="20"/>
              </w:rPr>
            </w:pPr>
          </w:p>
          <w:p w14:paraId="5B9DBE58" w14:textId="77777777" w:rsidR="00F369C4" w:rsidRDefault="00F369C4" w:rsidP="00F369C4">
            <w:pPr>
              <w:rPr>
                <w:rFonts w:asciiTheme="majorHAnsi" w:hAnsiTheme="majorHAnsi"/>
                <w:sz w:val="20"/>
                <w:szCs w:val="20"/>
              </w:rPr>
            </w:pPr>
            <w:r w:rsidRPr="00F369C4">
              <w:rPr>
                <w:rFonts w:asciiTheme="majorHAnsi" w:hAnsiTheme="majorHAnsi"/>
                <w:b/>
                <w:bCs/>
                <w:sz w:val="20"/>
                <w:szCs w:val="20"/>
              </w:rPr>
              <w:t>Student Aid Administration</w:t>
            </w:r>
            <w:r>
              <w:rPr>
                <w:rFonts w:asciiTheme="majorHAnsi" w:hAnsiTheme="majorHAnsi"/>
                <w:sz w:val="20"/>
                <w:szCs w:val="20"/>
              </w:rPr>
              <w:t xml:space="preserve"> </w:t>
            </w:r>
          </w:p>
          <w:p w14:paraId="161DEC85" w14:textId="77777777" w:rsid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 xml:space="preserve">$40 million for administrative expenses to support changes (both those carried in the bill and those made administratively) to student aid programs to help students and borrowers. </w:t>
            </w:r>
          </w:p>
          <w:p w14:paraId="74CE7727" w14:textId="77777777" w:rsidR="00F369C4" w:rsidRDefault="00F369C4" w:rsidP="00F369C4">
            <w:pPr>
              <w:rPr>
                <w:rFonts w:asciiTheme="majorHAnsi" w:hAnsiTheme="majorHAnsi"/>
                <w:sz w:val="20"/>
                <w:szCs w:val="20"/>
              </w:rPr>
            </w:pPr>
          </w:p>
          <w:p w14:paraId="1C2D95DF" w14:textId="77777777" w:rsidR="00F369C4" w:rsidRDefault="00F369C4" w:rsidP="00F369C4">
            <w:pPr>
              <w:rPr>
                <w:rFonts w:asciiTheme="majorHAnsi" w:hAnsiTheme="majorHAnsi"/>
                <w:b/>
                <w:bCs/>
                <w:sz w:val="20"/>
                <w:szCs w:val="20"/>
              </w:rPr>
            </w:pPr>
            <w:r w:rsidRPr="00F369C4">
              <w:rPr>
                <w:rFonts w:asciiTheme="majorHAnsi" w:hAnsiTheme="majorHAnsi"/>
                <w:b/>
                <w:bCs/>
                <w:sz w:val="20"/>
                <w:szCs w:val="20"/>
              </w:rPr>
              <w:t>Office of Inspector General</w:t>
            </w:r>
          </w:p>
          <w:p w14:paraId="022AA7F3" w14:textId="6D2AC0A6" w:rsidR="00F369C4" w:rsidRP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$7 million for audit and oversight of activities funded in this bill.</w:t>
            </w:r>
          </w:p>
          <w:p w14:paraId="050F9A75" w14:textId="2039D4F7" w:rsidR="00F369C4" w:rsidRPr="00B13E33" w:rsidRDefault="00F369C4">
            <w:pPr>
              <w:rPr>
                <w:rFonts w:asciiTheme="majorHAnsi" w:hAnsiTheme="majorHAnsi"/>
                <w:sz w:val="20"/>
                <w:szCs w:val="20"/>
              </w:rPr>
            </w:pPr>
          </w:p>
        </w:tc>
        <w:tc>
          <w:tcPr>
            <w:tcW w:w="4675" w:type="dxa"/>
          </w:tcPr>
          <w:p w14:paraId="7431E102" w14:textId="07498CE2" w:rsidR="0088042B" w:rsidRPr="00B13E33" w:rsidRDefault="0088042B" w:rsidP="0088042B">
            <w:pPr>
              <w:rPr>
                <w:rFonts w:asciiTheme="majorHAnsi" w:hAnsiTheme="majorHAnsi"/>
                <w:b/>
                <w:bCs/>
                <w:iCs/>
                <w:sz w:val="20"/>
                <w:szCs w:val="20"/>
              </w:rPr>
            </w:pPr>
            <w:r w:rsidRPr="00B13E33">
              <w:rPr>
                <w:rFonts w:asciiTheme="majorHAnsi" w:hAnsiTheme="majorHAnsi"/>
                <w:b/>
                <w:bCs/>
                <w:iCs/>
                <w:sz w:val="20"/>
                <w:szCs w:val="20"/>
              </w:rPr>
              <w:lastRenderedPageBreak/>
              <w:t>Elementary &amp; Secondary Education - National Emergency Educational Waivers</w:t>
            </w:r>
            <w:r w:rsidR="00A677F6">
              <w:rPr>
                <w:rFonts w:asciiTheme="majorHAnsi" w:hAnsiTheme="majorHAnsi"/>
                <w:b/>
                <w:bCs/>
                <w:iCs/>
                <w:sz w:val="20"/>
                <w:szCs w:val="20"/>
              </w:rPr>
              <w:t xml:space="preserve"> (two categories)</w:t>
            </w:r>
            <w:r w:rsidRPr="00B13E33">
              <w:rPr>
                <w:rFonts w:asciiTheme="majorHAnsi" w:hAnsiTheme="majorHAnsi"/>
                <w:b/>
                <w:bCs/>
                <w:iCs/>
                <w:sz w:val="20"/>
                <w:szCs w:val="20"/>
              </w:rPr>
              <w:t xml:space="preserve">: </w:t>
            </w:r>
          </w:p>
          <w:p w14:paraId="52356801" w14:textId="77777777" w:rsidR="0088042B" w:rsidRPr="00B13E33" w:rsidRDefault="0088042B" w:rsidP="0088042B">
            <w:pPr>
              <w:rPr>
                <w:rFonts w:asciiTheme="majorHAnsi" w:hAnsiTheme="majorHAnsi"/>
                <w:sz w:val="20"/>
                <w:szCs w:val="20"/>
              </w:rPr>
            </w:pPr>
          </w:p>
          <w:p w14:paraId="59120020" w14:textId="54A3CBF7" w:rsidR="0088042B" w:rsidRPr="00A677F6" w:rsidRDefault="0088042B" w:rsidP="00A677F6">
            <w:pPr>
              <w:pStyle w:val="ListParagraph"/>
              <w:numPr>
                <w:ilvl w:val="0"/>
                <w:numId w:val="31"/>
              </w:numPr>
              <w:rPr>
                <w:rFonts w:asciiTheme="majorHAnsi" w:hAnsiTheme="majorHAnsi"/>
                <w:sz w:val="20"/>
                <w:szCs w:val="20"/>
              </w:rPr>
            </w:pPr>
            <w:r w:rsidRPr="00A677F6">
              <w:rPr>
                <w:rFonts w:asciiTheme="majorHAnsi" w:hAnsiTheme="majorHAnsi"/>
                <w:sz w:val="20"/>
                <w:szCs w:val="20"/>
              </w:rPr>
              <w:t xml:space="preserve">The Secretary </w:t>
            </w:r>
            <w:r w:rsidR="00A677F6" w:rsidRPr="00A677F6">
              <w:rPr>
                <w:rFonts w:asciiTheme="majorHAnsi" w:hAnsiTheme="majorHAnsi"/>
                <w:sz w:val="20"/>
                <w:szCs w:val="20"/>
              </w:rPr>
              <w:t>is granted additional</w:t>
            </w:r>
            <w:r w:rsidRPr="00A677F6">
              <w:rPr>
                <w:rFonts w:asciiTheme="majorHAnsi" w:hAnsiTheme="majorHAnsi"/>
                <w:sz w:val="20"/>
                <w:szCs w:val="20"/>
              </w:rPr>
              <w:t xml:space="preserve"> waiver authority</w:t>
            </w:r>
            <w:r w:rsidR="00A677F6" w:rsidRPr="00A677F6">
              <w:rPr>
                <w:rFonts w:asciiTheme="majorHAnsi" w:hAnsiTheme="majorHAnsi"/>
                <w:sz w:val="20"/>
                <w:szCs w:val="20"/>
              </w:rPr>
              <w:t xml:space="preserve">, upon a </w:t>
            </w:r>
            <w:r w:rsidR="00A677F6" w:rsidRPr="00A677F6">
              <w:rPr>
                <w:rFonts w:asciiTheme="majorHAnsi" w:hAnsiTheme="majorHAnsi"/>
                <w:sz w:val="20"/>
                <w:szCs w:val="20"/>
                <w:u w:val="single"/>
              </w:rPr>
              <w:t>state’s</w:t>
            </w:r>
            <w:r w:rsidR="00A677F6" w:rsidRPr="00A677F6">
              <w:rPr>
                <w:rFonts w:asciiTheme="majorHAnsi" w:hAnsiTheme="majorHAnsi"/>
                <w:sz w:val="20"/>
                <w:szCs w:val="20"/>
              </w:rPr>
              <w:t xml:space="preserve"> petition, </w:t>
            </w:r>
            <w:r w:rsidRPr="00A677F6">
              <w:rPr>
                <w:rFonts w:asciiTheme="majorHAnsi" w:hAnsiTheme="majorHAnsi"/>
                <w:sz w:val="20"/>
                <w:szCs w:val="20"/>
              </w:rPr>
              <w:t xml:space="preserve">over assessments, accountability, and related reporting requirements, if the Secretary determines that such a waiver is necessary and appropriate. </w:t>
            </w:r>
          </w:p>
          <w:p w14:paraId="5E60F9E1" w14:textId="77777777" w:rsidR="00A677F6" w:rsidRPr="00B13E33" w:rsidRDefault="00A677F6" w:rsidP="0088042B">
            <w:pPr>
              <w:rPr>
                <w:rFonts w:asciiTheme="majorHAnsi" w:hAnsiTheme="majorHAnsi"/>
                <w:sz w:val="20"/>
                <w:szCs w:val="20"/>
              </w:rPr>
            </w:pPr>
          </w:p>
          <w:p w14:paraId="229BBA85" w14:textId="7F52CE84" w:rsidR="0088042B" w:rsidRPr="00B13E33" w:rsidRDefault="0088042B" w:rsidP="00A677F6">
            <w:pPr>
              <w:numPr>
                <w:ilvl w:val="0"/>
                <w:numId w:val="4"/>
              </w:numPr>
              <w:rPr>
                <w:rFonts w:asciiTheme="majorHAnsi" w:hAnsiTheme="majorHAnsi"/>
                <w:sz w:val="20"/>
                <w:szCs w:val="20"/>
              </w:rPr>
            </w:pPr>
            <w:r w:rsidRPr="00B13E33">
              <w:rPr>
                <w:rFonts w:asciiTheme="majorHAnsi" w:hAnsiTheme="majorHAnsi"/>
                <w:sz w:val="20"/>
                <w:szCs w:val="20"/>
              </w:rPr>
              <w:t>The Secretary</w:t>
            </w:r>
            <w:r w:rsidR="00A677F6">
              <w:rPr>
                <w:rFonts w:asciiTheme="majorHAnsi" w:hAnsiTheme="majorHAnsi"/>
                <w:sz w:val="20"/>
                <w:szCs w:val="20"/>
              </w:rPr>
              <w:t xml:space="preserve"> is granted additional waiver authority, upon state, tribal, school district petition,</w:t>
            </w:r>
            <w:r w:rsidRPr="00B13E33">
              <w:rPr>
                <w:rFonts w:asciiTheme="majorHAnsi" w:hAnsiTheme="majorHAnsi"/>
                <w:sz w:val="20"/>
                <w:szCs w:val="20"/>
              </w:rPr>
              <w:t xml:space="preserve"> over specific ESEA provisions, including:</w:t>
            </w:r>
          </w:p>
          <w:p w14:paraId="4B4F5390" w14:textId="26C98FEC" w:rsidR="0088042B" w:rsidRPr="00B13E33"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Schoolwide Title I program designation;</w:t>
            </w:r>
          </w:p>
          <w:p w14:paraId="3D458D96" w14:textId="77777777" w:rsidR="0088042B" w:rsidRPr="00B13E33"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Supplement, not Supplant;</w:t>
            </w:r>
          </w:p>
          <w:p w14:paraId="305577E7" w14:textId="77777777" w:rsidR="0088042B" w:rsidRPr="00B13E33"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Maintenance of Effort;</w:t>
            </w:r>
          </w:p>
          <w:p w14:paraId="6810CC44" w14:textId="19D984B8" w:rsidR="0088042B" w:rsidRPr="00FE2FE3" w:rsidRDefault="00FE2FE3" w:rsidP="00A677F6">
            <w:pPr>
              <w:numPr>
                <w:ilvl w:val="1"/>
                <w:numId w:val="26"/>
              </w:numPr>
              <w:rPr>
                <w:rFonts w:asciiTheme="majorHAnsi" w:hAnsiTheme="majorHAnsi"/>
                <w:sz w:val="20"/>
                <w:szCs w:val="20"/>
              </w:rPr>
            </w:pPr>
            <w:r>
              <w:rPr>
                <w:rFonts w:asciiTheme="majorHAnsi" w:hAnsiTheme="majorHAnsi"/>
                <w:sz w:val="20"/>
                <w:szCs w:val="20"/>
              </w:rPr>
              <w:t>T</w:t>
            </w:r>
            <w:r w:rsidR="0088042B" w:rsidRPr="00FE2FE3">
              <w:rPr>
                <w:rFonts w:asciiTheme="majorHAnsi" w:hAnsiTheme="majorHAnsi"/>
                <w:sz w:val="20"/>
                <w:szCs w:val="20"/>
              </w:rPr>
              <w:t>he Student Support and Academic Enrichment Programs required needs assessment;</w:t>
            </w:r>
            <w:r w:rsidRPr="00FE2FE3">
              <w:rPr>
                <w:rFonts w:asciiTheme="majorHAnsi" w:hAnsiTheme="majorHAnsi"/>
                <w:sz w:val="20"/>
                <w:szCs w:val="20"/>
              </w:rPr>
              <w:t xml:space="preserve"> 1</w:t>
            </w:r>
            <w:r w:rsidR="0088042B" w:rsidRPr="00FE2FE3">
              <w:rPr>
                <w:rFonts w:asciiTheme="majorHAnsi" w:hAnsiTheme="majorHAnsi"/>
                <w:sz w:val="20"/>
                <w:szCs w:val="20"/>
              </w:rPr>
              <w:t>5% technology cap;</w:t>
            </w:r>
            <w:r>
              <w:rPr>
                <w:rFonts w:asciiTheme="majorHAnsi" w:hAnsiTheme="majorHAnsi"/>
                <w:sz w:val="20"/>
                <w:szCs w:val="20"/>
              </w:rPr>
              <w:t xml:space="preserve"> 2</w:t>
            </w:r>
            <w:r w:rsidR="0088042B" w:rsidRPr="00FE2FE3">
              <w:rPr>
                <w:rFonts w:asciiTheme="majorHAnsi" w:hAnsiTheme="majorHAnsi"/>
                <w:sz w:val="20"/>
                <w:szCs w:val="20"/>
              </w:rPr>
              <w:t>0% set asides for school safety and enrichment; and</w:t>
            </w:r>
          </w:p>
          <w:p w14:paraId="6779488F" w14:textId="4E4FED0E" w:rsidR="0088042B"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ESEA’s professional development definition.</w:t>
            </w:r>
          </w:p>
          <w:p w14:paraId="6B460507" w14:textId="77777777" w:rsidR="00A677F6" w:rsidRDefault="00A677F6" w:rsidP="004350EF">
            <w:pPr>
              <w:ind w:left="1440"/>
              <w:rPr>
                <w:rFonts w:asciiTheme="majorHAnsi" w:hAnsiTheme="majorHAnsi"/>
                <w:sz w:val="20"/>
                <w:szCs w:val="20"/>
              </w:rPr>
            </w:pPr>
          </w:p>
          <w:p w14:paraId="3626ADD7" w14:textId="783BE0AA" w:rsidR="00A677F6" w:rsidRDefault="00A677F6" w:rsidP="00A677F6">
            <w:pPr>
              <w:rPr>
                <w:rFonts w:asciiTheme="majorHAnsi" w:hAnsiTheme="majorHAnsi"/>
                <w:sz w:val="20"/>
                <w:szCs w:val="20"/>
              </w:rPr>
            </w:pPr>
            <w:r w:rsidRPr="0028712E">
              <w:rPr>
                <w:rFonts w:asciiTheme="majorHAnsi" w:hAnsiTheme="majorHAnsi" w:cs="Arial"/>
                <w:color w:val="000000"/>
                <w:sz w:val="20"/>
                <w:szCs w:val="20"/>
                <w:shd w:val="clear" w:color="auto" w:fill="FFFFFF"/>
              </w:rPr>
              <w:t xml:space="preserve">Within 30 days of the bill becoming law, </w:t>
            </w:r>
            <w:r>
              <w:rPr>
                <w:rFonts w:asciiTheme="majorHAnsi" w:hAnsiTheme="majorHAnsi" w:cs="Arial"/>
                <w:color w:val="000000"/>
                <w:sz w:val="20"/>
                <w:szCs w:val="20"/>
                <w:shd w:val="clear" w:color="auto" w:fill="FFFFFF"/>
              </w:rPr>
              <w:t xml:space="preserve">Sec. </w:t>
            </w:r>
            <w:r w:rsidRPr="0028712E">
              <w:rPr>
                <w:rFonts w:asciiTheme="majorHAnsi" w:hAnsiTheme="majorHAnsi" w:cs="Arial"/>
                <w:color w:val="000000"/>
                <w:sz w:val="20"/>
                <w:szCs w:val="20"/>
                <w:shd w:val="clear" w:color="auto" w:fill="FFFFFF"/>
              </w:rPr>
              <w:t xml:space="preserve">DeVos </w:t>
            </w:r>
            <w:r>
              <w:rPr>
                <w:rFonts w:asciiTheme="majorHAnsi" w:hAnsiTheme="majorHAnsi" w:cs="Arial"/>
                <w:color w:val="000000"/>
                <w:sz w:val="20"/>
                <w:szCs w:val="20"/>
                <w:shd w:val="clear" w:color="auto" w:fill="FFFFFF"/>
              </w:rPr>
              <w:t>must submit a report to</w:t>
            </w:r>
            <w:r w:rsidRPr="0028712E">
              <w:rPr>
                <w:rFonts w:asciiTheme="majorHAnsi" w:hAnsiTheme="majorHAnsi" w:cs="Arial"/>
                <w:color w:val="000000"/>
                <w:sz w:val="20"/>
                <w:szCs w:val="20"/>
                <w:shd w:val="clear" w:color="auto" w:fill="FFFFFF"/>
              </w:rPr>
              <w:t xml:space="preserve"> Congress </w:t>
            </w:r>
            <w:r>
              <w:rPr>
                <w:rFonts w:asciiTheme="majorHAnsi" w:hAnsiTheme="majorHAnsi" w:cs="Arial"/>
                <w:color w:val="000000"/>
                <w:sz w:val="20"/>
                <w:szCs w:val="20"/>
                <w:shd w:val="clear" w:color="auto" w:fill="FFFFFF"/>
              </w:rPr>
              <w:t>about any</w:t>
            </w:r>
            <w:r w:rsidRPr="0028712E">
              <w:rPr>
                <w:rFonts w:asciiTheme="majorHAnsi" w:hAnsiTheme="majorHAnsi" w:cs="Arial"/>
                <w:color w:val="000000"/>
                <w:sz w:val="20"/>
                <w:szCs w:val="20"/>
                <w:shd w:val="clear" w:color="auto" w:fill="FFFFFF"/>
              </w:rPr>
              <w:t xml:space="preserve"> additional waivers </w:t>
            </w:r>
            <w:r>
              <w:rPr>
                <w:rFonts w:asciiTheme="majorHAnsi" w:hAnsiTheme="majorHAnsi" w:cs="Arial"/>
                <w:color w:val="000000"/>
                <w:sz w:val="20"/>
                <w:szCs w:val="20"/>
                <w:shd w:val="clear" w:color="auto" w:fill="FFFFFF"/>
              </w:rPr>
              <w:t>that may be</w:t>
            </w:r>
            <w:r w:rsidRPr="0028712E">
              <w:rPr>
                <w:rFonts w:asciiTheme="majorHAnsi" w:hAnsiTheme="majorHAnsi" w:cs="Arial"/>
                <w:color w:val="000000"/>
                <w:sz w:val="20"/>
                <w:szCs w:val="20"/>
                <w:shd w:val="clear" w:color="auto" w:fill="FFFFFF"/>
              </w:rPr>
              <w:t xml:space="preserve"> necessary from the Individuals With Disabilities Education Act</w:t>
            </w:r>
            <w:r>
              <w:rPr>
                <w:rFonts w:asciiTheme="majorHAnsi" w:hAnsiTheme="majorHAnsi" w:cs="Arial"/>
                <w:color w:val="000000"/>
                <w:sz w:val="20"/>
                <w:szCs w:val="20"/>
                <w:shd w:val="clear" w:color="auto" w:fill="FFFFFF"/>
              </w:rPr>
              <w:t xml:space="preserve">, </w:t>
            </w:r>
            <w:r w:rsidRPr="0028712E">
              <w:rPr>
                <w:rFonts w:asciiTheme="majorHAnsi" w:hAnsiTheme="majorHAnsi" w:cs="Arial"/>
                <w:color w:val="000000"/>
                <w:sz w:val="20"/>
                <w:szCs w:val="20"/>
                <w:shd w:val="clear" w:color="auto" w:fill="FFFFFF"/>
              </w:rPr>
              <w:t>as well as ESSA, the Rehabilitation Act, and the Carl D. Perkins Career and Technical Education Act, in order to provide schools with "limited flexibility."</w:t>
            </w:r>
          </w:p>
          <w:p w14:paraId="52C9E87C" w14:textId="77777777" w:rsidR="00A677F6" w:rsidRPr="00B13E33" w:rsidRDefault="00A677F6" w:rsidP="00A677F6">
            <w:pPr>
              <w:ind w:left="2160"/>
              <w:rPr>
                <w:rFonts w:asciiTheme="majorHAnsi" w:hAnsiTheme="majorHAnsi"/>
                <w:sz w:val="20"/>
                <w:szCs w:val="20"/>
              </w:rPr>
            </w:pPr>
          </w:p>
          <w:p w14:paraId="32E17975" w14:textId="162B024E" w:rsidR="0088042B" w:rsidRPr="00E53122" w:rsidRDefault="0088042B" w:rsidP="00E53122">
            <w:pPr>
              <w:pStyle w:val="ListParagraph"/>
              <w:numPr>
                <w:ilvl w:val="0"/>
                <w:numId w:val="34"/>
              </w:numPr>
              <w:rPr>
                <w:rFonts w:asciiTheme="majorHAnsi" w:hAnsiTheme="majorHAnsi"/>
                <w:sz w:val="20"/>
                <w:szCs w:val="20"/>
              </w:rPr>
            </w:pPr>
            <w:r w:rsidRPr="00E53122">
              <w:rPr>
                <w:rFonts w:asciiTheme="majorHAnsi" w:hAnsiTheme="majorHAnsi"/>
                <w:i/>
                <w:sz w:val="20"/>
                <w:szCs w:val="20"/>
              </w:rPr>
              <w:t>Postsecondary Education Waivers</w:t>
            </w:r>
            <w:r w:rsidRPr="00E53122">
              <w:rPr>
                <w:rFonts w:asciiTheme="majorHAnsi" w:hAnsiTheme="majorHAnsi"/>
                <w:sz w:val="20"/>
                <w:szCs w:val="20"/>
              </w:rPr>
              <w:t>: The postsecondary education waivers include campus-based aid waivers, use of supplemental educational opportunity grants for emergency aid, and payments to work study students during the emergency are still allowed.</w:t>
            </w:r>
            <w:r w:rsidR="00A677F6" w:rsidRPr="00E53122">
              <w:rPr>
                <w:rFonts w:asciiTheme="majorHAnsi" w:hAnsiTheme="majorHAnsi"/>
                <w:sz w:val="20"/>
                <w:szCs w:val="20"/>
              </w:rPr>
              <w:t xml:space="preserve"> See bill for more detail.</w:t>
            </w:r>
          </w:p>
          <w:p w14:paraId="01C832DB" w14:textId="7853AD15" w:rsidR="0028712E" w:rsidRDefault="0028712E" w:rsidP="0028712E">
            <w:pPr>
              <w:rPr>
                <w:rFonts w:asciiTheme="majorHAnsi" w:hAnsiTheme="majorHAnsi"/>
                <w:sz w:val="20"/>
                <w:szCs w:val="20"/>
              </w:rPr>
            </w:pPr>
          </w:p>
          <w:p w14:paraId="3D24014F" w14:textId="77777777" w:rsidR="0028712E" w:rsidRPr="00B13E33" w:rsidRDefault="0028712E" w:rsidP="0028712E">
            <w:pPr>
              <w:rPr>
                <w:rFonts w:asciiTheme="majorHAnsi" w:hAnsiTheme="majorHAnsi"/>
                <w:sz w:val="20"/>
                <w:szCs w:val="20"/>
              </w:rPr>
            </w:pPr>
          </w:p>
          <w:p w14:paraId="42A51FBE" w14:textId="77777777" w:rsidR="0088042B" w:rsidRPr="00B13E33" w:rsidRDefault="0088042B">
            <w:pPr>
              <w:rPr>
                <w:rFonts w:asciiTheme="majorHAnsi" w:hAnsiTheme="majorHAnsi"/>
                <w:sz w:val="20"/>
                <w:szCs w:val="20"/>
              </w:rPr>
            </w:pPr>
          </w:p>
        </w:tc>
      </w:tr>
      <w:tr w:rsidR="00B13E33" w:rsidRPr="00B13E33" w14:paraId="3F2F3281" w14:textId="77777777" w:rsidTr="0088042B">
        <w:tc>
          <w:tcPr>
            <w:tcW w:w="4675" w:type="dxa"/>
          </w:tcPr>
          <w:p w14:paraId="76D811E9" w14:textId="148C37A8" w:rsidR="00A677F6" w:rsidRDefault="00A677F6" w:rsidP="00A677F6">
            <w:pPr>
              <w:shd w:val="clear" w:color="auto" w:fill="FFFFFF"/>
              <w:jc w:val="center"/>
              <w:rPr>
                <w:rFonts w:asciiTheme="majorHAnsi" w:hAnsiTheme="majorHAnsi" w:cs="Arial"/>
                <w:b/>
                <w:bCs/>
                <w:color w:val="000000"/>
                <w:sz w:val="20"/>
                <w:szCs w:val="20"/>
              </w:rPr>
            </w:pPr>
            <w:r>
              <w:rPr>
                <w:rFonts w:asciiTheme="majorHAnsi" w:hAnsiTheme="majorHAnsi" w:cs="Arial"/>
                <w:b/>
                <w:bCs/>
                <w:color w:val="000000"/>
                <w:sz w:val="20"/>
                <w:szCs w:val="20"/>
              </w:rPr>
              <w:lastRenderedPageBreak/>
              <w:t>Nutrition and ECE</w:t>
            </w:r>
          </w:p>
          <w:p w14:paraId="17F75A73" w14:textId="77777777" w:rsidR="00A677F6" w:rsidRDefault="00A677F6" w:rsidP="0028712E">
            <w:pPr>
              <w:shd w:val="clear" w:color="auto" w:fill="FFFFFF"/>
              <w:rPr>
                <w:rFonts w:asciiTheme="majorHAnsi" w:hAnsiTheme="majorHAnsi" w:cs="Arial"/>
                <w:b/>
                <w:bCs/>
                <w:color w:val="000000"/>
                <w:sz w:val="20"/>
                <w:szCs w:val="20"/>
              </w:rPr>
            </w:pPr>
          </w:p>
          <w:p w14:paraId="0E7066FC" w14:textId="5A34002B" w:rsidR="0028712E" w:rsidRPr="0028712E" w:rsidRDefault="00B13E33" w:rsidP="0028712E">
            <w:pPr>
              <w:shd w:val="clear" w:color="auto" w:fill="FFFFFF"/>
              <w:rPr>
                <w:rFonts w:asciiTheme="majorHAnsi" w:hAnsiTheme="majorHAnsi" w:cs="Arial"/>
                <w:b/>
                <w:bCs/>
                <w:color w:val="000000"/>
                <w:sz w:val="20"/>
                <w:szCs w:val="20"/>
              </w:rPr>
            </w:pPr>
            <w:r w:rsidRPr="0028712E">
              <w:rPr>
                <w:rFonts w:asciiTheme="majorHAnsi" w:hAnsiTheme="majorHAnsi" w:cs="Arial"/>
                <w:b/>
                <w:bCs/>
                <w:color w:val="000000"/>
                <w:sz w:val="20"/>
                <w:szCs w:val="20"/>
              </w:rPr>
              <w:t>Supplemental Nutritional Assistance Program</w:t>
            </w:r>
          </w:p>
          <w:p w14:paraId="77A26A85" w14:textId="6C37C0E2" w:rsidR="0028712E" w:rsidRPr="0028712E" w:rsidRDefault="0028712E" w:rsidP="0028712E">
            <w:pPr>
              <w:pStyle w:val="ListParagraph"/>
              <w:numPr>
                <w:ilvl w:val="0"/>
                <w:numId w:val="9"/>
              </w:numPr>
              <w:shd w:val="clear" w:color="auto" w:fill="FFFFFF"/>
              <w:rPr>
                <w:rFonts w:asciiTheme="majorHAnsi" w:hAnsiTheme="majorHAnsi" w:cs="Arial"/>
                <w:color w:val="000000"/>
                <w:sz w:val="20"/>
                <w:szCs w:val="20"/>
              </w:rPr>
            </w:pPr>
            <w:r w:rsidRPr="0028712E">
              <w:rPr>
                <w:rFonts w:asciiTheme="majorHAnsi" w:hAnsiTheme="majorHAnsi" w:cs="Arial"/>
                <w:color w:val="000000"/>
                <w:sz w:val="20"/>
                <w:szCs w:val="20"/>
              </w:rPr>
              <w:t xml:space="preserve">$15.5 billion </w:t>
            </w:r>
          </w:p>
          <w:p w14:paraId="31EFA220" w14:textId="77777777" w:rsidR="0028712E" w:rsidRPr="0028712E" w:rsidRDefault="0028712E" w:rsidP="0028712E">
            <w:pPr>
              <w:pStyle w:val="ListParagraph"/>
              <w:shd w:val="clear" w:color="auto" w:fill="FFFFFF"/>
              <w:rPr>
                <w:rFonts w:asciiTheme="majorHAnsi" w:hAnsiTheme="majorHAnsi" w:cs="Arial"/>
                <w:color w:val="000000"/>
                <w:sz w:val="20"/>
                <w:szCs w:val="20"/>
              </w:rPr>
            </w:pPr>
          </w:p>
          <w:p w14:paraId="4F0A50AE" w14:textId="565D216E" w:rsidR="00B13E33" w:rsidRPr="0028712E" w:rsidRDefault="00B13E33" w:rsidP="0028712E">
            <w:pPr>
              <w:shd w:val="clear" w:color="auto" w:fill="FFFFFF"/>
              <w:rPr>
                <w:rFonts w:asciiTheme="majorHAnsi" w:hAnsiTheme="majorHAnsi" w:cs="Arial"/>
                <w:b/>
                <w:bCs/>
                <w:color w:val="000000"/>
                <w:sz w:val="20"/>
                <w:szCs w:val="20"/>
              </w:rPr>
            </w:pPr>
            <w:r w:rsidRPr="0028712E">
              <w:rPr>
                <w:rFonts w:asciiTheme="majorHAnsi" w:hAnsiTheme="majorHAnsi" w:cs="Arial"/>
                <w:b/>
                <w:bCs/>
                <w:color w:val="000000"/>
                <w:sz w:val="20"/>
                <w:szCs w:val="20"/>
              </w:rPr>
              <w:t xml:space="preserve">Child Nutrition Programs </w:t>
            </w:r>
          </w:p>
          <w:p w14:paraId="4DD8630F" w14:textId="6709769A" w:rsidR="0028712E" w:rsidRPr="0028712E" w:rsidRDefault="0028712E" w:rsidP="0028712E">
            <w:pPr>
              <w:pStyle w:val="ListParagraph"/>
              <w:numPr>
                <w:ilvl w:val="0"/>
                <w:numId w:val="9"/>
              </w:numPr>
              <w:shd w:val="clear" w:color="auto" w:fill="FFFFFF"/>
              <w:rPr>
                <w:rFonts w:asciiTheme="majorHAnsi" w:hAnsiTheme="majorHAnsi" w:cs="Arial"/>
                <w:color w:val="000000"/>
                <w:sz w:val="20"/>
                <w:szCs w:val="20"/>
              </w:rPr>
            </w:pPr>
            <w:r w:rsidRPr="0028712E">
              <w:rPr>
                <w:rFonts w:asciiTheme="majorHAnsi" w:hAnsiTheme="majorHAnsi" w:cs="Arial"/>
                <w:color w:val="000000"/>
                <w:sz w:val="20"/>
                <w:szCs w:val="20"/>
              </w:rPr>
              <w:t xml:space="preserve">$8.8 billion </w:t>
            </w:r>
          </w:p>
          <w:p w14:paraId="7117CE2E" w14:textId="77777777" w:rsidR="0028712E" w:rsidRPr="0028712E" w:rsidRDefault="0028712E" w:rsidP="0028712E">
            <w:pPr>
              <w:pStyle w:val="ListParagraph"/>
              <w:shd w:val="clear" w:color="auto" w:fill="FFFFFF"/>
              <w:rPr>
                <w:rFonts w:asciiTheme="majorHAnsi" w:hAnsiTheme="majorHAnsi" w:cs="Arial"/>
                <w:color w:val="000000"/>
                <w:sz w:val="20"/>
                <w:szCs w:val="20"/>
              </w:rPr>
            </w:pPr>
          </w:p>
          <w:p w14:paraId="07B23505" w14:textId="19C07BB8" w:rsidR="00A677F6" w:rsidRDefault="00A677F6" w:rsidP="00A677F6">
            <w:pPr>
              <w:shd w:val="clear" w:color="auto" w:fill="FFFFFF"/>
              <w:rPr>
                <w:rFonts w:asciiTheme="majorHAnsi" w:hAnsiTheme="majorHAnsi" w:cs="Arial"/>
                <w:b/>
                <w:bCs/>
                <w:color w:val="000000"/>
                <w:sz w:val="20"/>
                <w:szCs w:val="20"/>
              </w:rPr>
            </w:pPr>
            <w:r w:rsidRPr="00A677F6">
              <w:rPr>
                <w:rFonts w:asciiTheme="majorHAnsi" w:hAnsiTheme="majorHAnsi" w:cs="Arial"/>
                <w:b/>
                <w:bCs/>
                <w:color w:val="000000"/>
                <w:sz w:val="20"/>
                <w:szCs w:val="20"/>
              </w:rPr>
              <w:t xml:space="preserve">Food Distribution Program </w:t>
            </w:r>
            <w:r>
              <w:rPr>
                <w:rFonts w:asciiTheme="majorHAnsi" w:hAnsiTheme="majorHAnsi" w:cs="Arial"/>
                <w:b/>
                <w:bCs/>
                <w:color w:val="000000"/>
                <w:sz w:val="20"/>
                <w:szCs w:val="20"/>
              </w:rPr>
              <w:t>o</w:t>
            </w:r>
            <w:r w:rsidRPr="00A677F6">
              <w:rPr>
                <w:rFonts w:asciiTheme="majorHAnsi" w:hAnsiTheme="majorHAnsi" w:cs="Arial"/>
                <w:b/>
                <w:bCs/>
                <w:color w:val="000000"/>
                <w:sz w:val="20"/>
                <w:szCs w:val="20"/>
              </w:rPr>
              <w:t xml:space="preserve">n Indian Reservations – </w:t>
            </w:r>
          </w:p>
          <w:p w14:paraId="12EBCC03" w14:textId="77777777" w:rsidR="00A677F6" w:rsidRDefault="00A677F6" w:rsidP="00A677F6">
            <w:pPr>
              <w:shd w:val="clear" w:color="auto" w:fill="FFFFFF"/>
              <w:rPr>
                <w:rFonts w:asciiTheme="majorHAnsi" w:hAnsiTheme="majorHAnsi" w:cs="Arial"/>
                <w:b/>
                <w:bCs/>
                <w:color w:val="000000"/>
                <w:sz w:val="20"/>
                <w:szCs w:val="20"/>
              </w:rPr>
            </w:pPr>
          </w:p>
          <w:p w14:paraId="0A5BF3E5" w14:textId="5AA8A5C1" w:rsidR="00A677F6" w:rsidRPr="00A677F6" w:rsidRDefault="00A677F6" w:rsidP="00A677F6">
            <w:pPr>
              <w:pStyle w:val="ListParagraph"/>
              <w:numPr>
                <w:ilvl w:val="0"/>
                <w:numId w:val="33"/>
              </w:numPr>
              <w:shd w:val="clear" w:color="auto" w:fill="FFFFFF"/>
              <w:rPr>
                <w:rFonts w:asciiTheme="majorHAnsi" w:hAnsiTheme="majorHAnsi" w:cs="Arial"/>
                <w:color w:val="000000"/>
                <w:sz w:val="20"/>
                <w:szCs w:val="20"/>
              </w:rPr>
            </w:pPr>
            <w:r w:rsidRPr="00A677F6">
              <w:rPr>
                <w:rFonts w:asciiTheme="majorHAnsi" w:hAnsiTheme="majorHAnsi" w:cs="Arial"/>
                <w:color w:val="000000"/>
                <w:sz w:val="20"/>
                <w:szCs w:val="20"/>
              </w:rPr>
              <w:t xml:space="preserve">$100 million </w:t>
            </w:r>
          </w:p>
          <w:p w14:paraId="47B94D4D" w14:textId="77777777" w:rsidR="00A677F6" w:rsidRDefault="00A677F6" w:rsidP="00A677F6">
            <w:pPr>
              <w:shd w:val="clear" w:color="auto" w:fill="FFFFFF"/>
              <w:rPr>
                <w:rFonts w:asciiTheme="majorHAnsi" w:hAnsiTheme="majorHAnsi" w:cs="Arial"/>
                <w:b/>
                <w:bCs/>
                <w:color w:val="000000"/>
                <w:sz w:val="20"/>
                <w:szCs w:val="20"/>
              </w:rPr>
            </w:pPr>
          </w:p>
          <w:p w14:paraId="6A26A987" w14:textId="5C5420DD" w:rsidR="00A677F6" w:rsidRDefault="00A677F6" w:rsidP="00A677F6">
            <w:pPr>
              <w:shd w:val="clear" w:color="auto" w:fill="FFFFFF"/>
              <w:rPr>
                <w:rFonts w:asciiTheme="majorHAnsi" w:hAnsiTheme="majorHAnsi" w:cs="Arial"/>
                <w:b/>
                <w:bCs/>
                <w:color w:val="000000"/>
                <w:sz w:val="20"/>
                <w:szCs w:val="20"/>
              </w:rPr>
            </w:pPr>
            <w:r w:rsidRPr="00A677F6">
              <w:rPr>
                <w:rFonts w:asciiTheme="majorHAnsi" w:hAnsiTheme="majorHAnsi" w:cs="Arial"/>
                <w:b/>
                <w:bCs/>
                <w:color w:val="000000"/>
                <w:sz w:val="20"/>
                <w:szCs w:val="20"/>
              </w:rPr>
              <w:t xml:space="preserve">Nutrition Assistance </w:t>
            </w:r>
            <w:r>
              <w:rPr>
                <w:rFonts w:asciiTheme="majorHAnsi" w:hAnsiTheme="majorHAnsi" w:cs="Arial"/>
                <w:b/>
                <w:bCs/>
                <w:color w:val="000000"/>
                <w:sz w:val="20"/>
                <w:szCs w:val="20"/>
              </w:rPr>
              <w:t>f</w:t>
            </w:r>
            <w:r w:rsidRPr="00A677F6">
              <w:rPr>
                <w:rFonts w:asciiTheme="majorHAnsi" w:hAnsiTheme="majorHAnsi" w:cs="Arial"/>
                <w:b/>
                <w:bCs/>
                <w:color w:val="000000"/>
                <w:sz w:val="20"/>
                <w:szCs w:val="20"/>
              </w:rPr>
              <w:t xml:space="preserve">or The Commonwealth </w:t>
            </w:r>
            <w:r>
              <w:rPr>
                <w:rFonts w:asciiTheme="majorHAnsi" w:hAnsiTheme="majorHAnsi" w:cs="Arial"/>
                <w:b/>
                <w:bCs/>
                <w:color w:val="000000"/>
                <w:sz w:val="20"/>
                <w:szCs w:val="20"/>
              </w:rPr>
              <w:t>o</w:t>
            </w:r>
            <w:r w:rsidRPr="00A677F6">
              <w:rPr>
                <w:rFonts w:asciiTheme="majorHAnsi" w:hAnsiTheme="majorHAnsi" w:cs="Arial"/>
                <w:b/>
                <w:bCs/>
                <w:color w:val="000000"/>
                <w:sz w:val="20"/>
                <w:szCs w:val="20"/>
              </w:rPr>
              <w:t xml:space="preserve">f The Northern Mariana Islands, Puerto Rico, And American Samoa </w:t>
            </w:r>
            <w:r w:rsidR="009B2247">
              <w:rPr>
                <w:rFonts w:asciiTheme="majorHAnsi" w:hAnsiTheme="majorHAnsi" w:cs="Arial"/>
                <w:b/>
                <w:bCs/>
                <w:color w:val="000000"/>
                <w:sz w:val="20"/>
                <w:szCs w:val="20"/>
              </w:rPr>
              <w:t>(territories cannot access SNAP)</w:t>
            </w:r>
          </w:p>
          <w:p w14:paraId="70D8DD88" w14:textId="236B65A1" w:rsidR="00A677F6" w:rsidRPr="00A677F6" w:rsidRDefault="00A677F6" w:rsidP="00A677F6">
            <w:pPr>
              <w:pStyle w:val="ListParagraph"/>
              <w:numPr>
                <w:ilvl w:val="0"/>
                <w:numId w:val="33"/>
              </w:numPr>
              <w:shd w:val="clear" w:color="auto" w:fill="FFFFFF"/>
              <w:rPr>
                <w:rFonts w:asciiTheme="majorHAnsi" w:hAnsiTheme="majorHAnsi" w:cs="Arial"/>
                <w:color w:val="000000"/>
                <w:sz w:val="20"/>
                <w:szCs w:val="20"/>
              </w:rPr>
            </w:pPr>
            <w:r w:rsidRPr="00A677F6">
              <w:rPr>
                <w:rFonts w:asciiTheme="majorHAnsi" w:hAnsiTheme="majorHAnsi" w:cs="Arial"/>
                <w:color w:val="000000"/>
                <w:sz w:val="20"/>
                <w:szCs w:val="20"/>
              </w:rPr>
              <w:t xml:space="preserve">$200 million </w:t>
            </w:r>
          </w:p>
          <w:p w14:paraId="02471DF0" w14:textId="77777777" w:rsidR="00A677F6" w:rsidRDefault="00A677F6" w:rsidP="00A677F6">
            <w:pPr>
              <w:shd w:val="clear" w:color="auto" w:fill="FFFFFF"/>
              <w:rPr>
                <w:rFonts w:asciiTheme="majorHAnsi" w:hAnsiTheme="majorHAnsi" w:cs="Arial"/>
                <w:b/>
                <w:bCs/>
                <w:color w:val="000000"/>
                <w:sz w:val="20"/>
                <w:szCs w:val="20"/>
              </w:rPr>
            </w:pPr>
          </w:p>
          <w:p w14:paraId="42BC453F" w14:textId="24CB8EEB" w:rsidR="00A677F6" w:rsidRDefault="00A677F6" w:rsidP="00A677F6">
            <w:pPr>
              <w:shd w:val="clear" w:color="auto" w:fill="FFFFFF"/>
              <w:rPr>
                <w:rFonts w:asciiTheme="majorHAnsi" w:hAnsiTheme="majorHAnsi" w:cs="Arial"/>
                <w:b/>
                <w:bCs/>
                <w:color w:val="000000"/>
                <w:sz w:val="20"/>
                <w:szCs w:val="20"/>
              </w:rPr>
            </w:pPr>
            <w:r w:rsidRPr="00A677F6">
              <w:rPr>
                <w:rFonts w:asciiTheme="majorHAnsi" w:hAnsiTheme="majorHAnsi" w:cs="Arial"/>
                <w:b/>
                <w:bCs/>
                <w:color w:val="000000"/>
                <w:sz w:val="20"/>
                <w:szCs w:val="20"/>
              </w:rPr>
              <w:t xml:space="preserve">The Emergency Food Assistance Program </w:t>
            </w:r>
          </w:p>
          <w:p w14:paraId="27096B36" w14:textId="19BB5518" w:rsidR="00A677F6" w:rsidRPr="009B2247" w:rsidRDefault="00A677F6" w:rsidP="00A677F6">
            <w:pPr>
              <w:pStyle w:val="ListParagraph"/>
              <w:numPr>
                <w:ilvl w:val="0"/>
                <w:numId w:val="33"/>
              </w:numPr>
              <w:shd w:val="clear" w:color="auto" w:fill="FFFFFF"/>
              <w:rPr>
                <w:rFonts w:asciiTheme="majorHAnsi" w:hAnsiTheme="majorHAnsi" w:cs="Arial"/>
                <w:color w:val="000000"/>
                <w:sz w:val="20"/>
                <w:szCs w:val="20"/>
              </w:rPr>
            </w:pPr>
            <w:r w:rsidRPr="009B2247">
              <w:rPr>
                <w:rFonts w:asciiTheme="majorHAnsi" w:hAnsiTheme="majorHAnsi" w:cs="Arial"/>
                <w:color w:val="000000"/>
                <w:sz w:val="20"/>
                <w:szCs w:val="20"/>
              </w:rPr>
              <w:t>$450 million The bill provides additional funding for comm</w:t>
            </w:r>
          </w:p>
          <w:p w14:paraId="2AC58434" w14:textId="77777777" w:rsidR="00A677F6" w:rsidRDefault="00A677F6" w:rsidP="0028712E">
            <w:pPr>
              <w:shd w:val="clear" w:color="auto" w:fill="FFFFFF"/>
              <w:rPr>
                <w:rFonts w:asciiTheme="majorHAnsi" w:hAnsiTheme="majorHAnsi" w:cs="Arial"/>
                <w:b/>
                <w:bCs/>
                <w:color w:val="000000"/>
                <w:sz w:val="20"/>
                <w:szCs w:val="20"/>
              </w:rPr>
            </w:pPr>
          </w:p>
          <w:p w14:paraId="5EC6A19C" w14:textId="77777777" w:rsidR="007D2010" w:rsidRDefault="007D2010" w:rsidP="007D2010">
            <w:pPr>
              <w:shd w:val="clear" w:color="auto" w:fill="FFFFFF"/>
              <w:rPr>
                <w:rFonts w:asciiTheme="majorHAnsi" w:hAnsiTheme="majorHAnsi" w:cs="Arial"/>
                <w:color w:val="000000"/>
                <w:sz w:val="20"/>
                <w:szCs w:val="20"/>
              </w:rPr>
            </w:pPr>
            <w:r w:rsidRPr="007D2010">
              <w:rPr>
                <w:rFonts w:asciiTheme="majorHAnsi" w:hAnsiTheme="majorHAnsi" w:cs="Arial"/>
                <w:b/>
                <w:bCs/>
                <w:color w:val="000000"/>
                <w:sz w:val="20"/>
                <w:szCs w:val="20"/>
              </w:rPr>
              <w:t>Child Care and Development Block Grant</w:t>
            </w:r>
            <w:r w:rsidRPr="007D2010">
              <w:rPr>
                <w:rFonts w:asciiTheme="majorHAnsi" w:hAnsiTheme="majorHAnsi" w:cs="Arial"/>
                <w:color w:val="000000"/>
                <w:sz w:val="20"/>
                <w:szCs w:val="20"/>
              </w:rPr>
              <w:t xml:space="preserve"> </w:t>
            </w:r>
          </w:p>
          <w:p w14:paraId="121B2110" w14:textId="77777777" w:rsidR="007D2010" w:rsidRPr="007D2010" w:rsidRDefault="007D2010" w:rsidP="007D2010">
            <w:pPr>
              <w:pStyle w:val="ListParagraph"/>
              <w:numPr>
                <w:ilvl w:val="0"/>
                <w:numId w:val="33"/>
              </w:numPr>
              <w:shd w:val="clear" w:color="auto" w:fill="FFFFFF"/>
              <w:rPr>
                <w:rFonts w:asciiTheme="majorHAnsi" w:hAnsiTheme="majorHAnsi" w:cs="Arial"/>
                <w:color w:val="000000"/>
                <w:sz w:val="20"/>
                <w:szCs w:val="20"/>
              </w:rPr>
            </w:pPr>
            <w:r w:rsidRPr="007D2010">
              <w:rPr>
                <w:rFonts w:asciiTheme="majorHAnsi" w:hAnsiTheme="majorHAnsi" w:cs="Arial"/>
                <w:color w:val="000000"/>
                <w:sz w:val="20"/>
                <w:szCs w:val="20"/>
              </w:rPr>
              <w:t xml:space="preserve">$3.5 billion in grants to states for immediate assistance to child care providers to prevent them from going out of business and to otherwise support child care for families, including for healthcare workers, first </w:t>
            </w:r>
            <w:r w:rsidRPr="007D2010">
              <w:rPr>
                <w:rFonts w:asciiTheme="majorHAnsi" w:hAnsiTheme="majorHAnsi" w:cs="Arial"/>
                <w:color w:val="000000"/>
                <w:sz w:val="20"/>
                <w:szCs w:val="20"/>
              </w:rPr>
              <w:lastRenderedPageBreak/>
              <w:t xml:space="preserve">responders, and others playing critical roles during this crisis. </w:t>
            </w:r>
          </w:p>
          <w:p w14:paraId="39D8C5FF" w14:textId="77777777" w:rsidR="007D2010" w:rsidRDefault="007D2010" w:rsidP="007D2010">
            <w:pPr>
              <w:shd w:val="clear" w:color="auto" w:fill="FFFFFF"/>
              <w:rPr>
                <w:rFonts w:asciiTheme="majorHAnsi" w:hAnsiTheme="majorHAnsi" w:cs="Arial"/>
                <w:color w:val="000000"/>
                <w:sz w:val="20"/>
                <w:szCs w:val="20"/>
              </w:rPr>
            </w:pPr>
          </w:p>
          <w:p w14:paraId="48A19253" w14:textId="77777777" w:rsidR="007D2010" w:rsidRDefault="007D2010" w:rsidP="007D2010">
            <w:pPr>
              <w:shd w:val="clear" w:color="auto" w:fill="FFFFFF"/>
              <w:rPr>
                <w:rFonts w:asciiTheme="majorHAnsi" w:hAnsiTheme="majorHAnsi" w:cs="Arial"/>
                <w:color w:val="000000"/>
                <w:sz w:val="20"/>
                <w:szCs w:val="20"/>
              </w:rPr>
            </w:pPr>
            <w:r w:rsidRPr="007D2010">
              <w:rPr>
                <w:rFonts w:asciiTheme="majorHAnsi" w:hAnsiTheme="majorHAnsi" w:cs="Arial"/>
                <w:b/>
                <w:bCs/>
                <w:color w:val="000000"/>
                <w:sz w:val="20"/>
                <w:szCs w:val="20"/>
              </w:rPr>
              <w:t>Head Start</w:t>
            </w:r>
            <w:r>
              <w:rPr>
                <w:rFonts w:asciiTheme="majorHAnsi" w:hAnsiTheme="majorHAnsi" w:cs="Arial"/>
                <w:color w:val="000000"/>
                <w:sz w:val="20"/>
                <w:szCs w:val="20"/>
              </w:rPr>
              <w:t xml:space="preserve"> </w:t>
            </w:r>
          </w:p>
          <w:p w14:paraId="7BA4C9A8" w14:textId="35B849EB" w:rsidR="007D2010" w:rsidRPr="007D2010" w:rsidRDefault="007D2010" w:rsidP="007D2010">
            <w:pPr>
              <w:pStyle w:val="ListParagraph"/>
              <w:numPr>
                <w:ilvl w:val="0"/>
                <w:numId w:val="33"/>
              </w:numPr>
              <w:shd w:val="clear" w:color="auto" w:fill="FFFFFF"/>
              <w:rPr>
                <w:rFonts w:asciiTheme="majorHAnsi" w:hAnsiTheme="majorHAnsi" w:cs="Arial"/>
                <w:color w:val="000000"/>
                <w:sz w:val="20"/>
                <w:szCs w:val="20"/>
              </w:rPr>
            </w:pPr>
            <w:r w:rsidRPr="007D2010">
              <w:rPr>
                <w:rFonts w:asciiTheme="majorHAnsi" w:hAnsiTheme="majorHAnsi" w:cs="Arial"/>
                <w:color w:val="000000"/>
                <w:sz w:val="20"/>
                <w:szCs w:val="20"/>
              </w:rPr>
              <w:t>$750 million for grants to all Head Start programs to help them respond to coronavirus</w:t>
            </w:r>
            <w:r>
              <w:rPr>
                <w:rFonts w:asciiTheme="majorHAnsi" w:hAnsiTheme="majorHAnsi" w:cs="Arial"/>
                <w:color w:val="000000"/>
                <w:sz w:val="20"/>
                <w:szCs w:val="20"/>
              </w:rPr>
              <w:t xml:space="preserve"> </w:t>
            </w:r>
            <w:r w:rsidRPr="007D2010">
              <w:rPr>
                <w:rFonts w:asciiTheme="majorHAnsi" w:hAnsiTheme="majorHAnsi" w:cs="Arial"/>
                <w:color w:val="000000"/>
                <w:sz w:val="20"/>
                <w:szCs w:val="20"/>
              </w:rPr>
              <w:t>related needs of children and families, including making up for lost learning time</w:t>
            </w:r>
          </w:p>
          <w:p w14:paraId="51294DFF" w14:textId="2CC801D3" w:rsidR="00B13E33" w:rsidRPr="003F7651" w:rsidRDefault="0028712E" w:rsidP="007D2010">
            <w:pPr>
              <w:shd w:val="clear" w:color="auto" w:fill="FFFFFF"/>
              <w:ind w:left="499"/>
              <w:rPr>
                <w:rFonts w:asciiTheme="majorHAnsi" w:hAnsiTheme="majorHAnsi" w:cs="Arial"/>
                <w:color w:val="000000"/>
                <w:sz w:val="20"/>
                <w:szCs w:val="20"/>
              </w:rPr>
            </w:pPr>
            <w:r w:rsidRPr="0028712E">
              <w:rPr>
                <w:rFonts w:asciiTheme="majorHAnsi" w:hAnsiTheme="majorHAnsi" w:cs="Arial"/>
                <w:color w:val="000000"/>
                <w:sz w:val="20"/>
                <w:szCs w:val="20"/>
              </w:rPr>
              <w:t xml:space="preserve"> </w:t>
            </w:r>
          </w:p>
        </w:tc>
        <w:tc>
          <w:tcPr>
            <w:tcW w:w="4675" w:type="dxa"/>
          </w:tcPr>
          <w:p w14:paraId="14D67761" w14:textId="4DA8831A" w:rsidR="0028712E" w:rsidRDefault="0086136E" w:rsidP="00A677F6">
            <w:pPr>
              <w:shd w:val="clear" w:color="auto" w:fill="FFFFFF"/>
              <w:rPr>
                <w:rFonts w:asciiTheme="majorHAnsi" w:hAnsiTheme="majorHAnsi" w:cs="Arial"/>
                <w:color w:val="000000"/>
                <w:sz w:val="20"/>
                <w:szCs w:val="20"/>
              </w:rPr>
            </w:pPr>
            <w:r>
              <w:rPr>
                <w:rFonts w:asciiTheme="majorHAnsi" w:hAnsiTheme="majorHAnsi" w:cs="Arial"/>
                <w:b/>
                <w:bCs/>
                <w:color w:val="000000"/>
                <w:sz w:val="20"/>
                <w:szCs w:val="20"/>
              </w:rPr>
              <w:lastRenderedPageBreak/>
              <w:t>P</w:t>
            </w:r>
            <w:r w:rsidR="00B13E33" w:rsidRPr="0028712E">
              <w:rPr>
                <w:rFonts w:asciiTheme="majorHAnsi" w:hAnsiTheme="majorHAnsi" w:cs="Arial"/>
                <w:b/>
                <w:bCs/>
                <w:color w:val="000000"/>
                <w:sz w:val="20"/>
                <w:szCs w:val="20"/>
              </w:rPr>
              <w:t xml:space="preserve">roject SERV </w:t>
            </w:r>
            <w:r w:rsidR="0028712E">
              <w:rPr>
                <w:rFonts w:asciiTheme="majorHAnsi" w:hAnsiTheme="majorHAnsi" w:cs="Arial"/>
                <w:b/>
                <w:bCs/>
                <w:color w:val="000000"/>
                <w:sz w:val="20"/>
                <w:szCs w:val="20"/>
              </w:rPr>
              <w:t>G</w:t>
            </w:r>
            <w:r w:rsidR="00B13E33" w:rsidRPr="0028712E">
              <w:rPr>
                <w:rFonts w:asciiTheme="majorHAnsi" w:hAnsiTheme="majorHAnsi" w:cs="Arial"/>
                <w:b/>
                <w:bCs/>
                <w:color w:val="000000"/>
                <w:sz w:val="20"/>
                <w:szCs w:val="20"/>
              </w:rPr>
              <w:t>rants</w:t>
            </w:r>
            <w:r w:rsidR="00B13E33" w:rsidRPr="00B13E33">
              <w:rPr>
                <w:rFonts w:asciiTheme="majorHAnsi" w:hAnsiTheme="majorHAnsi" w:cs="Arial"/>
                <w:color w:val="000000"/>
                <w:sz w:val="20"/>
                <w:szCs w:val="20"/>
              </w:rPr>
              <w:t xml:space="preserve"> </w:t>
            </w:r>
          </w:p>
          <w:p w14:paraId="35569D8C" w14:textId="2C48E7DA" w:rsidR="0028712E" w:rsidRPr="00E53122" w:rsidRDefault="0028712E" w:rsidP="00E53122">
            <w:pPr>
              <w:pStyle w:val="ListParagraph"/>
              <w:numPr>
                <w:ilvl w:val="0"/>
                <w:numId w:val="9"/>
              </w:numPr>
              <w:shd w:val="clear" w:color="auto" w:fill="FFFFFF"/>
              <w:ind w:left="704"/>
              <w:rPr>
                <w:rFonts w:asciiTheme="majorHAnsi" w:hAnsiTheme="majorHAnsi" w:cs="Arial"/>
                <w:color w:val="000000"/>
                <w:sz w:val="20"/>
                <w:szCs w:val="20"/>
              </w:rPr>
            </w:pPr>
            <w:r w:rsidRPr="00E53122">
              <w:rPr>
                <w:rFonts w:asciiTheme="majorHAnsi" w:hAnsiTheme="majorHAnsi" w:cs="Arial"/>
                <w:color w:val="000000"/>
                <w:sz w:val="20"/>
                <w:szCs w:val="20"/>
              </w:rPr>
              <w:t xml:space="preserve">$100 million </w:t>
            </w:r>
            <w:r w:rsidR="00A677F6" w:rsidRPr="00E53122">
              <w:rPr>
                <w:rFonts w:asciiTheme="majorHAnsi" w:hAnsiTheme="majorHAnsi" w:cs="Arial"/>
                <w:color w:val="000000"/>
                <w:sz w:val="20"/>
                <w:szCs w:val="20"/>
              </w:rPr>
              <w:t>to clean and disinfect schools, and provide support for mental health services, distance learning, and other uses.</w:t>
            </w:r>
          </w:p>
          <w:p w14:paraId="62F3C48E" w14:textId="758CCB0D" w:rsidR="00B13E33" w:rsidRPr="0028712E" w:rsidRDefault="00B13E33" w:rsidP="0028712E">
            <w:pPr>
              <w:shd w:val="clear" w:color="auto" w:fill="FFFFFF"/>
              <w:spacing w:line="360" w:lineRule="atLeast"/>
              <w:rPr>
                <w:rFonts w:asciiTheme="majorHAnsi" w:hAnsiTheme="majorHAnsi" w:cs="Arial"/>
                <w:b/>
                <w:bCs/>
                <w:color w:val="000000"/>
                <w:sz w:val="20"/>
                <w:szCs w:val="20"/>
              </w:rPr>
            </w:pPr>
            <w:r w:rsidRPr="0028712E">
              <w:rPr>
                <w:rFonts w:asciiTheme="majorHAnsi" w:hAnsiTheme="majorHAnsi" w:cs="Arial"/>
                <w:b/>
                <w:bCs/>
                <w:color w:val="000000"/>
                <w:sz w:val="20"/>
                <w:szCs w:val="20"/>
              </w:rPr>
              <w:t>Bureau of Indian Education</w:t>
            </w:r>
          </w:p>
          <w:p w14:paraId="42FBED62" w14:textId="52906560" w:rsidR="0028712E" w:rsidRPr="00A677F6" w:rsidRDefault="0028712E" w:rsidP="00E53122">
            <w:pPr>
              <w:numPr>
                <w:ilvl w:val="0"/>
                <w:numId w:val="8"/>
              </w:numPr>
              <w:shd w:val="clear" w:color="auto" w:fill="FFFFFF"/>
              <w:ind w:left="704"/>
              <w:rPr>
                <w:rFonts w:asciiTheme="majorHAnsi" w:hAnsiTheme="majorHAnsi" w:cs="Arial"/>
                <w:color w:val="000000"/>
                <w:sz w:val="20"/>
                <w:szCs w:val="20"/>
              </w:rPr>
            </w:pPr>
            <w:r w:rsidRPr="00B13E33">
              <w:rPr>
                <w:rFonts w:asciiTheme="majorHAnsi" w:hAnsiTheme="majorHAnsi" w:cs="Arial"/>
                <w:color w:val="000000"/>
                <w:sz w:val="20"/>
                <w:szCs w:val="20"/>
              </w:rPr>
              <w:t>$69 million</w:t>
            </w:r>
            <w:r w:rsidR="00A677F6">
              <w:rPr>
                <w:rFonts w:asciiTheme="majorHAnsi" w:hAnsiTheme="majorHAnsi" w:cs="Arial"/>
                <w:color w:val="000000"/>
                <w:sz w:val="20"/>
                <w:szCs w:val="20"/>
              </w:rPr>
              <w:t xml:space="preserve"> </w:t>
            </w:r>
            <w:r w:rsidR="00A677F6" w:rsidRPr="00A677F6">
              <w:rPr>
                <w:rFonts w:asciiTheme="majorHAnsi" w:hAnsiTheme="majorHAnsi" w:cs="Arial"/>
                <w:color w:val="000000"/>
                <w:sz w:val="20"/>
                <w:szCs w:val="20"/>
              </w:rPr>
              <w:t>for extended teacher and workforce salary needs; transportation needs associated with the pandemic; information technology, including teleworking capabilities; and aid for tribal colleges and universities. Separate funding is also provided to the Institute of American Indian Arts (IAIA) to respond to the pandemic</w:t>
            </w:r>
            <w:r w:rsidR="00A677F6">
              <w:rPr>
                <w:rFonts w:asciiTheme="majorHAnsi" w:hAnsiTheme="majorHAnsi" w:cs="Arial"/>
                <w:color w:val="000000"/>
                <w:sz w:val="20"/>
                <w:szCs w:val="20"/>
              </w:rPr>
              <w:t>.</w:t>
            </w:r>
          </w:p>
          <w:p w14:paraId="3CC85BCB" w14:textId="58795C3D" w:rsidR="00B13E33" w:rsidRDefault="0028712E" w:rsidP="0028712E">
            <w:pPr>
              <w:shd w:val="clear" w:color="auto" w:fill="FFFFFF"/>
              <w:spacing w:line="360" w:lineRule="atLeast"/>
              <w:rPr>
                <w:rFonts w:asciiTheme="majorHAnsi" w:hAnsiTheme="majorHAnsi" w:cs="Arial"/>
                <w:color w:val="000000"/>
                <w:sz w:val="20"/>
                <w:szCs w:val="20"/>
              </w:rPr>
            </w:pPr>
            <w:r w:rsidRPr="0028712E">
              <w:rPr>
                <w:rFonts w:asciiTheme="majorHAnsi" w:hAnsiTheme="majorHAnsi" w:cs="Arial"/>
                <w:b/>
                <w:bCs/>
                <w:color w:val="000000"/>
                <w:sz w:val="20"/>
                <w:szCs w:val="20"/>
              </w:rPr>
              <w:t>Health Departments</w:t>
            </w:r>
            <w:r w:rsidR="00B13E33" w:rsidRPr="00B13E33">
              <w:rPr>
                <w:rFonts w:asciiTheme="majorHAnsi" w:hAnsiTheme="majorHAnsi" w:cs="Arial"/>
                <w:color w:val="000000"/>
                <w:sz w:val="20"/>
                <w:szCs w:val="20"/>
              </w:rPr>
              <w:t xml:space="preserve"> </w:t>
            </w:r>
          </w:p>
          <w:p w14:paraId="10AE95D5" w14:textId="3A9F6985" w:rsidR="0028712E" w:rsidRPr="0028712E" w:rsidRDefault="0028712E" w:rsidP="00E53122">
            <w:pPr>
              <w:pStyle w:val="ListParagraph"/>
              <w:numPr>
                <w:ilvl w:val="0"/>
                <w:numId w:val="9"/>
              </w:numPr>
              <w:shd w:val="clear" w:color="auto" w:fill="FFFFFF"/>
              <w:ind w:left="704"/>
              <w:rPr>
                <w:rFonts w:asciiTheme="majorHAnsi" w:hAnsiTheme="majorHAnsi" w:cs="Arial"/>
                <w:color w:val="000000"/>
                <w:sz w:val="20"/>
                <w:szCs w:val="20"/>
              </w:rPr>
            </w:pPr>
            <w:r>
              <w:rPr>
                <w:rFonts w:asciiTheme="majorHAnsi" w:hAnsiTheme="majorHAnsi" w:cs="Arial"/>
                <w:color w:val="000000"/>
                <w:sz w:val="20"/>
                <w:szCs w:val="20"/>
              </w:rPr>
              <w:t>$</w:t>
            </w:r>
            <w:r w:rsidRPr="0028712E">
              <w:rPr>
                <w:rFonts w:asciiTheme="majorHAnsi" w:hAnsiTheme="majorHAnsi" w:cs="Arial"/>
                <w:color w:val="000000"/>
                <w:sz w:val="20"/>
                <w:szCs w:val="20"/>
              </w:rPr>
              <w:t xml:space="preserve">5 million </w:t>
            </w:r>
            <w:r w:rsidR="00A677F6">
              <w:rPr>
                <w:rFonts w:asciiTheme="majorHAnsi" w:hAnsiTheme="majorHAnsi" w:cs="Arial"/>
                <w:color w:val="000000"/>
                <w:sz w:val="20"/>
                <w:szCs w:val="20"/>
              </w:rPr>
              <w:t xml:space="preserve">to provide </w:t>
            </w:r>
            <w:r w:rsidR="00A677F6" w:rsidRPr="00A677F6">
              <w:rPr>
                <w:rFonts w:asciiTheme="majorHAnsi" w:hAnsiTheme="majorHAnsi" w:cs="Arial"/>
                <w:color w:val="000000"/>
                <w:sz w:val="20"/>
                <w:szCs w:val="20"/>
              </w:rPr>
              <w:t>guidance on cleaning and disinfecting schools and day-care facilities</w:t>
            </w:r>
            <w:r w:rsidR="00A677F6">
              <w:rPr>
                <w:rFonts w:asciiTheme="majorHAnsi" w:hAnsiTheme="majorHAnsi" w:cs="Arial"/>
                <w:color w:val="000000"/>
                <w:sz w:val="20"/>
                <w:szCs w:val="20"/>
              </w:rPr>
              <w:t xml:space="preserve">, and more. </w:t>
            </w:r>
          </w:p>
          <w:p w14:paraId="38A22340" w14:textId="77777777" w:rsidR="00B13E33" w:rsidRPr="00B13E33" w:rsidRDefault="00B13E33" w:rsidP="0088042B">
            <w:pPr>
              <w:rPr>
                <w:rFonts w:asciiTheme="majorHAnsi" w:hAnsiTheme="majorHAnsi"/>
                <w:b/>
                <w:bCs/>
                <w:iCs/>
                <w:sz w:val="20"/>
                <w:szCs w:val="20"/>
              </w:rPr>
            </w:pPr>
          </w:p>
        </w:tc>
      </w:tr>
      <w:tr w:rsidR="00B13E33" w:rsidRPr="00B13E33" w14:paraId="63A02A29" w14:textId="77777777" w:rsidTr="0088042B">
        <w:tc>
          <w:tcPr>
            <w:tcW w:w="4675" w:type="dxa"/>
          </w:tcPr>
          <w:p w14:paraId="0D0C5352" w14:textId="483013CA" w:rsidR="00852F6D" w:rsidRDefault="00852F6D" w:rsidP="00A677F6">
            <w:pPr>
              <w:shd w:val="clear" w:color="auto" w:fill="FFFFFF"/>
              <w:jc w:val="center"/>
              <w:textAlignment w:val="baseline"/>
              <w:rPr>
                <w:rFonts w:asciiTheme="majorHAnsi" w:hAnsiTheme="majorHAnsi"/>
                <w:b/>
                <w:bCs/>
                <w:color w:val="000000"/>
                <w:sz w:val="20"/>
                <w:szCs w:val="20"/>
              </w:rPr>
            </w:pPr>
            <w:r>
              <w:rPr>
                <w:rFonts w:asciiTheme="majorHAnsi" w:hAnsiTheme="majorHAnsi"/>
                <w:b/>
                <w:bCs/>
                <w:color w:val="000000"/>
                <w:sz w:val="20"/>
                <w:szCs w:val="20"/>
              </w:rPr>
              <w:t>Post-Secondary</w:t>
            </w:r>
          </w:p>
          <w:p w14:paraId="472816A1" w14:textId="77777777" w:rsidR="00852F6D" w:rsidRDefault="00852F6D" w:rsidP="00852F6D">
            <w:pPr>
              <w:shd w:val="clear" w:color="auto" w:fill="FFFFFF"/>
              <w:textAlignment w:val="baseline"/>
              <w:rPr>
                <w:rFonts w:asciiTheme="majorHAnsi" w:hAnsiTheme="majorHAnsi"/>
                <w:b/>
                <w:bCs/>
                <w:color w:val="000000"/>
                <w:sz w:val="20"/>
                <w:szCs w:val="20"/>
              </w:rPr>
            </w:pPr>
          </w:p>
          <w:p w14:paraId="1CB510CF" w14:textId="25C837AB"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Campus-based aid waivers</w:t>
            </w:r>
          </w:p>
          <w:p w14:paraId="69529EB4" w14:textId="77777777" w:rsidR="00852F6D" w:rsidRPr="00852F6D" w:rsidRDefault="00852F6D" w:rsidP="00C40D56">
            <w:pPr>
              <w:numPr>
                <w:ilvl w:val="0"/>
                <w:numId w:val="10"/>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Waiver of Non-federal share requirement </w:t>
            </w:r>
          </w:p>
          <w:p w14:paraId="4A67108A" w14:textId="77777777" w:rsidR="00C40D56" w:rsidRDefault="00C40D56" w:rsidP="00852F6D">
            <w:pPr>
              <w:shd w:val="clear" w:color="auto" w:fill="FFFFFF"/>
              <w:textAlignment w:val="baseline"/>
              <w:rPr>
                <w:rFonts w:asciiTheme="majorHAnsi" w:hAnsiTheme="majorHAnsi"/>
                <w:b/>
                <w:bCs/>
                <w:color w:val="000000"/>
                <w:sz w:val="20"/>
                <w:szCs w:val="20"/>
              </w:rPr>
            </w:pPr>
          </w:p>
          <w:p w14:paraId="219F4080" w14:textId="7A73E00B"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Use of supplemental educational opportunity grants for emergency aid</w:t>
            </w:r>
          </w:p>
          <w:p w14:paraId="757A318F" w14:textId="1EB50ED4" w:rsidR="00852F6D" w:rsidRDefault="00852F6D" w:rsidP="00C40D56">
            <w:pPr>
              <w:numPr>
                <w:ilvl w:val="0"/>
                <w:numId w:val="11"/>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IHE's may reserve any amount of an institution’s FSEOG allocation for emergency financial aid grants</w:t>
            </w:r>
          </w:p>
          <w:p w14:paraId="2306AB31" w14:textId="77777777" w:rsidR="00C40D56" w:rsidRPr="00852F6D" w:rsidRDefault="00C40D56" w:rsidP="00C40D56">
            <w:pPr>
              <w:shd w:val="clear" w:color="auto" w:fill="FFFFFF"/>
              <w:ind w:left="720"/>
              <w:textAlignment w:val="baseline"/>
              <w:rPr>
                <w:rFonts w:asciiTheme="majorHAnsi" w:hAnsiTheme="majorHAnsi"/>
                <w:color w:val="000000"/>
                <w:sz w:val="20"/>
                <w:szCs w:val="20"/>
              </w:rPr>
            </w:pPr>
          </w:p>
          <w:p w14:paraId="6BCC2A97" w14:textId="77777777"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Federal work-study during a qualifying emergency. </w:t>
            </w:r>
          </w:p>
          <w:p w14:paraId="128AD593" w14:textId="77777777" w:rsidR="00852F6D" w:rsidRPr="00852F6D" w:rsidRDefault="00852F6D" w:rsidP="00C40D56">
            <w:pPr>
              <w:numPr>
                <w:ilvl w:val="0"/>
                <w:numId w:val="12"/>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Permits IHE payments to work study students during the emergency</w:t>
            </w:r>
          </w:p>
          <w:p w14:paraId="6D081777" w14:textId="77777777" w:rsidR="00C40D56" w:rsidRDefault="00C40D56" w:rsidP="00852F6D">
            <w:pPr>
              <w:shd w:val="clear" w:color="auto" w:fill="FFFFFF"/>
              <w:textAlignment w:val="baseline"/>
              <w:rPr>
                <w:rFonts w:asciiTheme="majorHAnsi" w:hAnsiTheme="majorHAnsi"/>
                <w:b/>
                <w:bCs/>
                <w:color w:val="000000"/>
                <w:sz w:val="20"/>
                <w:szCs w:val="20"/>
              </w:rPr>
            </w:pPr>
          </w:p>
          <w:p w14:paraId="73301F79" w14:textId="43B760C4"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Adjustment of subsidized loan usage limits</w:t>
            </w:r>
          </w:p>
          <w:p w14:paraId="18345235" w14:textId="23A20B5C" w:rsidR="00852F6D" w:rsidRPr="00C40D56" w:rsidRDefault="00852F6D" w:rsidP="00C40D56">
            <w:pPr>
              <w:numPr>
                <w:ilvl w:val="0"/>
                <w:numId w:val="13"/>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Excludes any semester (or the equivalent) that the student does not complete due to a qualifying emergency from limits </w:t>
            </w:r>
          </w:p>
          <w:p w14:paraId="1A9A7E99" w14:textId="77777777" w:rsidR="00C40D56" w:rsidRPr="00852F6D" w:rsidRDefault="00C40D56" w:rsidP="00C40D56">
            <w:pPr>
              <w:shd w:val="clear" w:color="auto" w:fill="FFFFFF"/>
              <w:ind w:left="720"/>
              <w:textAlignment w:val="baseline"/>
              <w:rPr>
                <w:rFonts w:asciiTheme="majorHAnsi" w:hAnsiTheme="majorHAnsi"/>
                <w:color w:val="000000"/>
                <w:sz w:val="20"/>
                <w:szCs w:val="20"/>
              </w:rPr>
            </w:pPr>
          </w:p>
          <w:p w14:paraId="2A426870" w14:textId="77777777"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Exclusion from Federal Pell Grant duration limit</w:t>
            </w:r>
          </w:p>
          <w:p w14:paraId="50AD5878" w14:textId="77777777" w:rsidR="00852F6D" w:rsidRPr="00852F6D" w:rsidRDefault="00852F6D" w:rsidP="00C40D56">
            <w:pPr>
              <w:numPr>
                <w:ilvl w:val="0"/>
                <w:numId w:val="14"/>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Secretary shall waive the institutional requirement under section 484B </w:t>
            </w:r>
            <w:r w:rsidRPr="00852F6D">
              <w:rPr>
                <w:rFonts w:asciiTheme="majorHAnsi" w:hAnsiTheme="majorHAnsi"/>
                <w:color w:val="000000"/>
                <w:sz w:val="20"/>
                <w:szCs w:val="20"/>
                <w:bdr w:val="none" w:sz="0" w:space="0" w:color="auto" w:frame="1"/>
              </w:rPr>
              <w:t>with respect to the amount of grant or loan</w:t>
            </w:r>
            <w:r w:rsidRPr="00852F6D">
              <w:rPr>
                <w:rFonts w:asciiTheme="majorHAnsi" w:hAnsiTheme="majorHAnsi"/>
                <w:color w:val="000000"/>
                <w:sz w:val="20"/>
                <w:szCs w:val="20"/>
                <w:bdr w:val="none" w:sz="0" w:space="0" w:color="auto" w:frame="1"/>
              </w:rPr>
              <w:br/>
              <w:t>assistance to be returned based on withdrawal during emergency period</w:t>
            </w:r>
          </w:p>
          <w:p w14:paraId="5B9CB3C6" w14:textId="77777777" w:rsidR="00C40D56" w:rsidRDefault="00C40D56" w:rsidP="00C40D56">
            <w:pPr>
              <w:shd w:val="clear" w:color="auto" w:fill="FFFFFF"/>
              <w:textAlignment w:val="baseline"/>
              <w:rPr>
                <w:rFonts w:asciiTheme="majorHAnsi" w:hAnsiTheme="majorHAnsi"/>
                <w:b/>
                <w:bCs/>
                <w:color w:val="000000"/>
                <w:sz w:val="20"/>
                <w:szCs w:val="20"/>
              </w:rPr>
            </w:pPr>
          </w:p>
          <w:p w14:paraId="2527CDE2" w14:textId="0E833BE0"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Institutional refunds and Federal student loan flexibility</w:t>
            </w:r>
          </w:p>
          <w:p w14:paraId="42AFCBFC" w14:textId="0D682A89" w:rsidR="00852F6D" w:rsidRPr="00B73C45" w:rsidRDefault="00852F6D" w:rsidP="00C40D56">
            <w:pPr>
              <w:numPr>
                <w:ilvl w:val="0"/>
                <w:numId w:val="15"/>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The Secretary shall waive </w:t>
            </w:r>
            <w:r w:rsidRPr="00852F6D">
              <w:rPr>
                <w:rFonts w:asciiTheme="majorHAnsi" w:hAnsiTheme="majorHAnsi"/>
                <w:color w:val="000000"/>
                <w:sz w:val="20"/>
                <w:szCs w:val="20"/>
              </w:rPr>
              <w:t>the IHE requirements with respect to the amount of grant or loan to be returned, if a recipient of assistance under title IV</w:t>
            </w:r>
            <w:r w:rsidRPr="00852F6D">
              <w:rPr>
                <w:rFonts w:asciiTheme="majorHAnsi" w:hAnsiTheme="majorHAnsi"/>
                <w:color w:val="000000"/>
                <w:sz w:val="20"/>
                <w:szCs w:val="20"/>
                <w:bdr w:val="none" w:sz="0" w:space="0" w:color="auto" w:frame="1"/>
              </w:rPr>
              <w:t> withdraws </w:t>
            </w:r>
          </w:p>
          <w:p w14:paraId="78054B25" w14:textId="77777777" w:rsidR="00C40D56" w:rsidRDefault="00C40D56" w:rsidP="00852F6D">
            <w:pPr>
              <w:shd w:val="clear" w:color="auto" w:fill="FFFFFF"/>
              <w:textAlignment w:val="baseline"/>
              <w:rPr>
                <w:rFonts w:asciiTheme="majorHAnsi" w:hAnsiTheme="majorHAnsi"/>
                <w:b/>
                <w:bCs/>
                <w:color w:val="000000"/>
                <w:sz w:val="20"/>
                <w:szCs w:val="20"/>
              </w:rPr>
            </w:pPr>
          </w:p>
          <w:p w14:paraId="6B37475E" w14:textId="25A9A400"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Satisfactory academic progress. </w:t>
            </w:r>
          </w:p>
          <w:p w14:paraId="42B9D7FD" w14:textId="085A38B9" w:rsidR="00852F6D" w:rsidRPr="00852F6D" w:rsidRDefault="00852F6D" w:rsidP="00C40D56">
            <w:pPr>
              <w:numPr>
                <w:ilvl w:val="0"/>
                <w:numId w:val="16"/>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 xml:space="preserve">In determining whether a student is maintaining satisfactory academic progress for purposes of title IV, an IHE may, as a result of a qualifying emergency, exclude from the quantitative component of the calculation any attempted credits that were </w:t>
            </w:r>
            <w:r w:rsidRPr="00852F6D">
              <w:rPr>
                <w:rFonts w:asciiTheme="majorHAnsi" w:hAnsiTheme="majorHAnsi"/>
                <w:color w:val="000000"/>
                <w:sz w:val="20"/>
                <w:szCs w:val="20"/>
                <w:bdr w:val="none" w:sz="0" w:space="0" w:color="auto" w:frame="1"/>
              </w:rPr>
              <w:lastRenderedPageBreak/>
              <w:t>not completed by such student without requiring an appeal by such student</w:t>
            </w:r>
          </w:p>
          <w:p w14:paraId="21B2124D" w14:textId="77777777" w:rsidR="00C40D56" w:rsidRDefault="00C40D56" w:rsidP="00852F6D">
            <w:pPr>
              <w:shd w:val="clear" w:color="auto" w:fill="FFFFFF"/>
              <w:textAlignment w:val="baseline"/>
              <w:rPr>
                <w:rFonts w:asciiTheme="majorHAnsi" w:hAnsiTheme="majorHAnsi"/>
                <w:b/>
                <w:bCs/>
                <w:color w:val="000000"/>
                <w:sz w:val="20"/>
                <w:szCs w:val="20"/>
              </w:rPr>
            </w:pPr>
          </w:p>
          <w:p w14:paraId="6BBE773A" w14:textId="36CE4176"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Temporary relief for federal student loan borrowers</w:t>
            </w:r>
          </w:p>
          <w:p w14:paraId="52CF883C" w14:textId="728D7993" w:rsidR="00B13E33" w:rsidRPr="00852F6D" w:rsidRDefault="00852F6D" w:rsidP="00C40D56">
            <w:pPr>
              <w:numPr>
                <w:ilvl w:val="0"/>
                <w:numId w:val="19"/>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The Secretary shall suspend all</w:t>
            </w:r>
            <w:r w:rsidRPr="00852F6D">
              <w:rPr>
                <w:rFonts w:asciiTheme="majorHAnsi" w:hAnsiTheme="majorHAnsi"/>
                <w:b/>
                <w:bCs/>
                <w:color w:val="000000"/>
                <w:sz w:val="20"/>
                <w:szCs w:val="20"/>
              </w:rPr>
              <w:t> </w:t>
            </w:r>
            <w:r w:rsidRPr="00852F6D">
              <w:rPr>
                <w:rFonts w:asciiTheme="majorHAnsi" w:hAnsiTheme="majorHAnsi"/>
                <w:color w:val="000000"/>
                <w:sz w:val="20"/>
                <w:szCs w:val="20"/>
              </w:rPr>
              <w:t>payments due for loans made under part D and part B (that are held by the Department of Education) of title IV </w:t>
            </w:r>
            <w:r w:rsidRPr="00852F6D">
              <w:rPr>
                <w:rFonts w:asciiTheme="majorHAnsi" w:hAnsiTheme="majorHAnsi"/>
                <w:color w:val="000000"/>
                <w:sz w:val="20"/>
                <w:szCs w:val="20"/>
                <w:bdr w:val="none" w:sz="0" w:space="0" w:color="auto" w:frame="1"/>
              </w:rPr>
              <w:t>through September 30, 2020. Interest will not accrue.</w:t>
            </w:r>
          </w:p>
        </w:tc>
        <w:tc>
          <w:tcPr>
            <w:tcW w:w="4675" w:type="dxa"/>
          </w:tcPr>
          <w:p w14:paraId="1597D0FF" w14:textId="77740DB6" w:rsidR="00852F6D" w:rsidRDefault="00852F6D" w:rsidP="00A677F6">
            <w:pPr>
              <w:shd w:val="clear" w:color="auto" w:fill="FFFFFF"/>
              <w:jc w:val="center"/>
              <w:textAlignment w:val="baseline"/>
              <w:rPr>
                <w:rFonts w:asciiTheme="majorHAnsi" w:hAnsiTheme="majorHAnsi"/>
                <w:b/>
                <w:bCs/>
                <w:color w:val="000000"/>
                <w:sz w:val="20"/>
                <w:szCs w:val="20"/>
              </w:rPr>
            </w:pPr>
            <w:r>
              <w:rPr>
                <w:rFonts w:asciiTheme="majorHAnsi" w:hAnsiTheme="majorHAnsi"/>
                <w:b/>
                <w:bCs/>
                <w:color w:val="000000"/>
                <w:sz w:val="20"/>
                <w:szCs w:val="20"/>
              </w:rPr>
              <w:lastRenderedPageBreak/>
              <w:t>Post-Secondary</w:t>
            </w:r>
          </w:p>
          <w:p w14:paraId="07F8166D" w14:textId="77777777" w:rsidR="00852F6D" w:rsidRDefault="00852F6D" w:rsidP="00852F6D">
            <w:pPr>
              <w:shd w:val="clear" w:color="auto" w:fill="FFFFFF"/>
              <w:textAlignment w:val="baseline"/>
              <w:rPr>
                <w:rFonts w:asciiTheme="majorHAnsi" w:hAnsiTheme="majorHAnsi"/>
                <w:b/>
                <w:bCs/>
                <w:color w:val="000000"/>
                <w:sz w:val="20"/>
                <w:szCs w:val="20"/>
              </w:rPr>
            </w:pPr>
          </w:p>
          <w:p w14:paraId="1A3BED5D" w14:textId="3882AB72" w:rsidR="00852F6D" w:rsidRPr="00852F6D" w:rsidRDefault="00852F6D" w:rsidP="00852F6D">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Provisions related to the Corporation for National and Community Service</w:t>
            </w:r>
          </w:p>
          <w:p w14:paraId="080DD810" w14:textId="77777777" w:rsidR="00852F6D" w:rsidRPr="00852F6D" w:rsidRDefault="00852F6D" w:rsidP="00852F6D">
            <w:pPr>
              <w:numPr>
                <w:ilvl w:val="0"/>
                <w:numId w:val="20"/>
              </w:numPr>
              <w:shd w:val="clear" w:color="auto" w:fill="FFFFFF"/>
              <w:textAlignment w:val="baseline"/>
              <w:rPr>
                <w:rFonts w:asciiTheme="majorHAnsi" w:hAnsiTheme="majorHAnsi"/>
                <w:color w:val="000000"/>
                <w:sz w:val="20"/>
                <w:szCs w:val="20"/>
                <w:bdr w:val="none" w:sz="0" w:space="0" w:color="auto" w:frame="1"/>
              </w:rPr>
            </w:pPr>
            <w:r w:rsidRPr="00852F6D">
              <w:rPr>
                <w:rFonts w:asciiTheme="majorHAnsi" w:hAnsiTheme="majorHAnsi"/>
                <w:color w:val="000000"/>
                <w:sz w:val="20"/>
                <w:szCs w:val="20"/>
                <w:bdr w:val="none" w:sz="0" w:space="0" w:color="auto" w:frame="1"/>
              </w:rPr>
              <w:t>CNCS shall allow covered individuals to accrue other service hours that will count toward the number of hours needed for the individual’s education award; grants extensions of terms and age limits; no return of grant funds</w:t>
            </w:r>
          </w:p>
          <w:p w14:paraId="37198686" w14:textId="77777777" w:rsidR="00C40D56" w:rsidRDefault="00C40D56" w:rsidP="00852F6D">
            <w:pPr>
              <w:shd w:val="clear" w:color="auto" w:fill="FFFFFF"/>
              <w:textAlignment w:val="baseline"/>
              <w:rPr>
                <w:rFonts w:asciiTheme="majorHAnsi" w:hAnsiTheme="majorHAnsi"/>
                <w:b/>
                <w:bCs/>
                <w:color w:val="000000"/>
                <w:sz w:val="20"/>
                <w:szCs w:val="20"/>
              </w:rPr>
            </w:pPr>
          </w:p>
          <w:p w14:paraId="16269809" w14:textId="33F77392"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Workforce response activities</w:t>
            </w:r>
          </w:p>
          <w:p w14:paraId="61A349EA" w14:textId="77777777" w:rsidR="00852F6D" w:rsidRPr="00852F6D" w:rsidRDefault="00852F6D" w:rsidP="00C40D56">
            <w:pPr>
              <w:numPr>
                <w:ilvl w:val="0"/>
                <w:numId w:val="21"/>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Changes WIA administrative cost set aside; un-obligated funds may be used for statewide rapid response; un-obligated funds released to local workforce boards</w:t>
            </w:r>
          </w:p>
          <w:p w14:paraId="3E849D26" w14:textId="77777777" w:rsidR="0032028E" w:rsidRDefault="0032028E" w:rsidP="00C40D56">
            <w:pPr>
              <w:shd w:val="clear" w:color="auto" w:fill="FFFFFF"/>
              <w:textAlignment w:val="baseline"/>
              <w:rPr>
                <w:rFonts w:asciiTheme="majorHAnsi" w:hAnsiTheme="majorHAnsi"/>
                <w:b/>
                <w:bCs/>
                <w:color w:val="000000"/>
                <w:sz w:val="20"/>
                <w:szCs w:val="20"/>
                <w:bdr w:val="none" w:sz="0" w:space="0" w:color="auto" w:frame="1"/>
              </w:rPr>
            </w:pPr>
          </w:p>
          <w:p w14:paraId="50577C22" w14:textId="2C045D86"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Waiver authority and reporting requirement for institutional aid</w:t>
            </w:r>
          </w:p>
          <w:p w14:paraId="4742144B" w14:textId="77777777" w:rsidR="00852F6D" w:rsidRPr="00852F6D" w:rsidRDefault="00852F6D" w:rsidP="00C40D56">
            <w:pPr>
              <w:numPr>
                <w:ilvl w:val="0"/>
                <w:numId w:val="22"/>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Waives eligible data requirements; waives wait-out period; allotment requirements and more</w:t>
            </w:r>
          </w:p>
          <w:p w14:paraId="4D116952" w14:textId="77777777"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Authorized uses and other modifications for grants. </w:t>
            </w:r>
          </w:p>
          <w:p w14:paraId="30025418" w14:textId="77777777" w:rsidR="00852F6D" w:rsidRPr="00852F6D" w:rsidRDefault="00852F6D" w:rsidP="00C40D56">
            <w:pPr>
              <w:numPr>
                <w:ilvl w:val="0"/>
                <w:numId w:val="23"/>
              </w:numPr>
              <w:shd w:val="clear" w:color="auto" w:fill="FFFFFF"/>
              <w:textAlignment w:val="baseline"/>
              <w:rPr>
                <w:rFonts w:asciiTheme="majorHAnsi" w:hAnsiTheme="majorHAnsi" w:cs="Segoe UI"/>
                <w:color w:val="201F1E"/>
                <w:sz w:val="20"/>
                <w:szCs w:val="20"/>
              </w:rPr>
            </w:pPr>
            <w:r w:rsidRPr="00852F6D">
              <w:rPr>
                <w:rFonts w:asciiTheme="majorHAnsi" w:hAnsiTheme="majorHAnsi" w:cs="Segoe UI"/>
                <w:color w:val="000000"/>
                <w:sz w:val="20"/>
                <w:szCs w:val="20"/>
                <w:bdr w:val="none" w:sz="0" w:space="0" w:color="auto" w:frame="1"/>
              </w:rPr>
              <w:t>Secretary is authorized to modify the required and allowable uses of funds for some grants at an IHE's request (affects Title IV, V, VII); makes </w:t>
            </w:r>
            <w:r w:rsidRPr="00852F6D">
              <w:rPr>
                <w:rFonts w:asciiTheme="majorHAnsi" w:hAnsiTheme="majorHAnsi" w:cs="Segoe UI"/>
                <w:color w:val="000000"/>
                <w:sz w:val="20"/>
                <w:szCs w:val="20"/>
              </w:rPr>
              <w:t>matching</w:t>
            </w:r>
            <w:r w:rsidRPr="00852F6D">
              <w:rPr>
                <w:rFonts w:asciiTheme="majorHAnsi" w:hAnsiTheme="majorHAnsi" w:cs="Segoe UI"/>
                <w:color w:val="000000"/>
                <w:sz w:val="20"/>
                <w:szCs w:val="20"/>
                <w:bdr w:val="none" w:sz="0" w:space="0" w:color="auto" w:frame="1"/>
              </w:rPr>
              <w:t> requirement modifications</w:t>
            </w:r>
          </w:p>
          <w:p w14:paraId="6A3DDC14" w14:textId="77777777" w:rsidR="00C40D56" w:rsidRDefault="00C40D56" w:rsidP="00852F6D">
            <w:pPr>
              <w:shd w:val="clear" w:color="auto" w:fill="FFFFFF"/>
              <w:textAlignment w:val="baseline"/>
              <w:rPr>
                <w:rFonts w:asciiTheme="majorHAnsi" w:hAnsiTheme="majorHAnsi"/>
                <w:b/>
                <w:bCs/>
                <w:color w:val="000000"/>
                <w:sz w:val="20"/>
                <w:szCs w:val="20"/>
                <w:bdr w:val="none" w:sz="0" w:space="0" w:color="auto" w:frame="1"/>
              </w:rPr>
            </w:pPr>
          </w:p>
          <w:p w14:paraId="6460E65F" w14:textId="3AE12464"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Service obligations for teachers</w:t>
            </w:r>
          </w:p>
          <w:p w14:paraId="7472B98D" w14:textId="77777777" w:rsidR="00852F6D" w:rsidRPr="00852F6D" w:rsidRDefault="00852F6D" w:rsidP="00C40D56">
            <w:pPr>
              <w:numPr>
                <w:ilvl w:val="0"/>
                <w:numId w:val="24"/>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Protects TEACH Grant recipients from impact of emergency on their ability to meet grant service requirements</w:t>
            </w:r>
          </w:p>
          <w:p w14:paraId="633BB968" w14:textId="77777777" w:rsidR="00C40D56" w:rsidRDefault="00C40D56" w:rsidP="00852F6D">
            <w:pPr>
              <w:shd w:val="clear" w:color="auto" w:fill="FFFFFF"/>
              <w:textAlignment w:val="baseline"/>
              <w:rPr>
                <w:rFonts w:asciiTheme="majorHAnsi" w:hAnsiTheme="majorHAnsi"/>
                <w:b/>
                <w:bCs/>
                <w:color w:val="000000"/>
                <w:sz w:val="20"/>
                <w:szCs w:val="20"/>
              </w:rPr>
            </w:pPr>
          </w:p>
          <w:p w14:paraId="2A929979" w14:textId="19C63068"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Continuing education at affected foreign institutions. </w:t>
            </w:r>
          </w:p>
          <w:p w14:paraId="551687E1" w14:textId="77777777" w:rsidR="00852F6D" w:rsidRPr="00852F6D" w:rsidRDefault="00852F6D" w:rsidP="00C40D56">
            <w:pPr>
              <w:numPr>
                <w:ilvl w:val="0"/>
                <w:numId w:val="17"/>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The Secretary may permit any part of an otherwise eligible program to be offered via distance education for the duration of such emergency or disaster and the following payment period for purposes of title IV (with specified conditions) </w:t>
            </w:r>
          </w:p>
          <w:p w14:paraId="30A14000" w14:textId="77777777" w:rsidR="00C40D56" w:rsidRDefault="00C40D56" w:rsidP="00852F6D">
            <w:pPr>
              <w:shd w:val="clear" w:color="auto" w:fill="FFFFFF"/>
              <w:textAlignment w:val="baseline"/>
              <w:rPr>
                <w:rFonts w:asciiTheme="majorHAnsi" w:hAnsiTheme="majorHAnsi"/>
                <w:b/>
                <w:bCs/>
                <w:color w:val="000000"/>
                <w:sz w:val="20"/>
                <w:szCs w:val="20"/>
              </w:rPr>
            </w:pPr>
          </w:p>
          <w:p w14:paraId="5C67A32B" w14:textId="555B74EB"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lastRenderedPageBreak/>
              <w:t>HBCU Capital financing</w:t>
            </w:r>
          </w:p>
          <w:p w14:paraId="0EEBA00F" w14:textId="77777777" w:rsidR="00852F6D" w:rsidRPr="00852F6D" w:rsidRDefault="00852F6D" w:rsidP="00C40D56">
            <w:pPr>
              <w:numPr>
                <w:ilvl w:val="0"/>
                <w:numId w:val="18"/>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Secretary may grant a deferment, for the duration of a qualifying emergency, to an institution that has received a loan</w:t>
            </w:r>
          </w:p>
          <w:p w14:paraId="7EAA3AD6" w14:textId="77777777" w:rsidR="00B13E33" w:rsidRPr="00852F6D" w:rsidRDefault="00B13E33" w:rsidP="00852F6D">
            <w:pPr>
              <w:shd w:val="clear" w:color="auto" w:fill="FFFFFF"/>
              <w:spacing w:beforeAutospacing="1" w:afterAutospacing="1"/>
              <w:ind w:left="720"/>
              <w:textAlignment w:val="baseline"/>
              <w:rPr>
                <w:rFonts w:asciiTheme="majorHAnsi" w:hAnsiTheme="majorHAnsi"/>
                <w:b/>
                <w:bCs/>
                <w:iCs/>
                <w:sz w:val="20"/>
                <w:szCs w:val="20"/>
              </w:rPr>
            </w:pPr>
          </w:p>
        </w:tc>
      </w:tr>
      <w:tr w:rsidR="00852F6D" w:rsidRPr="00B13E33" w14:paraId="10292518" w14:textId="77777777" w:rsidTr="0088042B">
        <w:tc>
          <w:tcPr>
            <w:tcW w:w="4675" w:type="dxa"/>
          </w:tcPr>
          <w:p w14:paraId="1D8DE1D9" w14:textId="2207EBDD" w:rsidR="00A677F6" w:rsidRDefault="00A677F6" w:rsidP="00A677F6">
            <w:pPr>
              <w:ind w:left="360"/>
              <w:jc w:val="center"/>
              <w:rPr>
                <w:rFonts w:asciiTheme="majorHAnsi" w:hAnsiTheme="majorHAnsi"/>
                <w:b/>
                <w:bCs/>
                <w:sz w:val="20"/>
                <w:szCs w:val="20"/>
              </w:rPr>
            </w:pPr>
            <w:r>
              <w:rPr>
                <w:rFonts w:asciiTheme="majorHAnsi" w:hAnsiTheme="majorHAnsi"/>
                <w:b/>
                <w:bCs/>
                <w:sz w:val="20"/>
                <w:szCs w:val="20"/>
              </w:rPr>
              <w:lastRenderedPageBreak/>
              <w:t>Other Education Related</w:t>
            </w:r>
          </w:p>
          <w:p w14:paraId="038F46EB" w14:textId="77777777" w:rsidR="00A677F6" w:rsidRDefault="00A677F6" w:rsidP="00EA61FD">
            <w:pPr>
              <w:ind w:left="360"/>
              <w:rPr>
                <w:rFonts w:asciiTheme="majorHAnsi" w:hAnsiTheme="majorHAnsi"/>
                <w:b/>
                <w:bCs/>
                <w:sz w:val="20"/>
                <w:szCs w:val="20"/>
              </w:rPr>
            </w:pPr>
          </w:p>
          <w:p w14:paraId="4936119F" w14:textId="671DF6BB" w:rsidR="00EA61FD" w:rsidRPr="00A677F6" w:rsidRDefault="00EA61FD" w:rsidP="00EA61FD">
            <w:pPr>
              <w:ind w:left="360"/>
              <w:rPr>
                <w:rFonts w:asciiTheme="majorHAnsi" w:hAnsiTheme="majorHAnsi"/>
                <w:sz w:val="20"/>
                <w:szCs w:val="20"/>
              </w:rPr>
            </w:pPr>
            <w:r w:rsidRPr="00A677F6">
              <w:rPr>
                <w:rFonts w:asciiTheme="majorHAnsi" w:hAnsiTheme="majorHAnsi"/>
                <w:b/>
                <w:bCs/>
                <w:sz w:val="20"/>
                <w:szCs w:val="20"/>
              </w:rPr>
              <w:t>Institute for Museum and Library Services</w:t>
            </w:r>
            <w:r w:rsidRPr="00A677F6">
              <w:rPr>
                <w:rFonts w:asciiTheme="majorHAnsi" w:hAnsiTheme="majorHAnsi"/>
                <w:sz w:val="20"/>
                <w:szCs w:val="20"/>
              </w:rPr>
              <w:t xml:space="preserve"> </w:t>
            </w:r>
          </w:p>
          <w:p w14:paraId="121ED517" w14:textId="14F7CFB0" w:rsidR="00EA61FD" w:rsidRPr="00A677F6" w:rsidRDefault="00EA61FD" w:rsidP="00EA61FD">
            <w:pPr>
              <w:pStyle w:val="ListParagraph"/>
              <w:numPr>
                <w:ilvl w:val="0"/>
                <w:numId w:val="29"/>
              </w:numPr>
              <w:rPr>
                <w:rFonts w:asciiTheme="majorHAnsi" w:hAnsiTheme="majorHAnsi"/>
                <w:sz w:val="20"/>
                <w:szCs w:val="20"/>
              </w:rPr>
            </w:pPr>
            <w:r w:rsidRPr="00A677F6">
              <w:rPr>
                <w:rFonts w:asciiTheme="majorHAnsi" w:hAnsiTheme="majorHAnsi"/>
                <w:sz w:val="20"/>
                <w:szCs w:val="20"/>
              </w:rPr>
              <w:t>$50 million for digital access and technical support services.</w:t>
            </w:r>
          </w:p>
          <w:p w14:paraId="60C6E423" w14:textId="77777777" w:rsidR="00852F6D" w:rsidRDefault="00852F6D" w:rsidP="00852F6D">
            <w:pPr>
              <w:shd w:val="clear" w:color="auto" w:fill="FFFFFF"/>
              <w:textAlignment w:val="baseline"/>
              <w:rPr>
                <w:rFonts w:asciiTheme="majorHAnsi" w:hAnsiTheme="majorHAnsi"/>
                <w:b/>
                <w:bCs/>
                <w:color w:val="000000"/>
                <w:sz w:val="20"/>
                <w:szCs w:val="20"/>
              </w:rPr>
            </w:pPr>
          </w:p>
        </w:tc>
        <w:tc>
          <w:tcPr>
            <w:tcW w:w="4675" w:type="dxa"/>
          </w:tcPr>
          <w:p w14:paraId="3062B9CB" w14:textId="4BB7225E" w:rsidR="00A677F6" w:rsidRPr="00A677F6" w:rsidRDefault="00A677F6" w:rsidP="00A677F6">
            <w:pPr>
              <w:ind w:left="360"/>
              <w:jc w:val="center"/>
              <w:rPr>
                <w:rFonts w:asciiTheme="majorHAnsi" w:hAnsiTheme="majorHAnsi"/>
                <w:b/>
                <w:bCs/>
                <w:sz w:val="20"/>
                <w:szCs w:val="20"/>
              </w:rPr>
            </w:pPr>
            <w:r>
              <w:rPr>
                <w:rFonts w:asciiTheme="majorHAnsi" w:hAnsiTheme="majorHAnsi"/>
                <w:b/>
                <w:bCs/>
                <w:sz w:val="20"/>
                <w:szCs w:val="20"/>
              </w:rPr>
              <w:t>Other Education Related</w:t>
            </w:r>
          </w:p>
          <w:p w14:paraId="4C1ACAB5" w14:textId="77777777" w:rsidR="00A677F6" w:rsidRDefault="00A677F6" w:rsidP="00EA61FD">
            <w:pPr>
              <w:shd w:val="clear" w:color="auto" w:fill="FFFFFF"/>
              <w:textAlignment w:val="baseline"/>
              <w:rPr>
                <w:rFonts w:asciiTheme="majorHAnsi" w:hAnsiTheme="majorHAnsi"/>
                <w:b/>
                <w:bCs/>
                <w:color w:val="000000"/>
                <w:sz w:val="20"/>
                <w:szCs w:val="20"/>
              </w:rPr>
            </w:pPr>
          </w:p>
          <w:p w14:paraId="4A714D29" w14:textId="567E7351" w:rsidR="00EA61FD" w:rsidRDefault="00EA61FD" w:rsidP="00EA61FD">
            <w:pPr>
              <w:shd w:val="clear" w:color="auto" w:fill="FFFFFF"/>
              <w:textAlignment w:val="baseline"/>
              <w:rPr>
                <w:rFonts w:asciiTheme="majorHAnsi" w:hAnsiTheme="majorHAnsi"/>
                <w:b/>
                <w:bCs/>
                <w:color w:val="000000"/>
                <w:sz w:val="20"/>
                <w:szCs w:val="20"/>
              </w:rPr>
            </w:pPr>
            <w:r>
              <w:rPr>
                <w:rFonts w:asciiTheme="majorHAnsi" w:hAnsiTheme="majorHAnsi"/>
                <w:b/>
                <w:bCs/>
                <w:color w:val="000000"/>
                <w:sz w:val="20"/>
                <w:szCs w:val="20"/>
              </w:rPr>
              <w:t>Rural Utilities Service (USDA)</w:t>
            </w:r>
          </w:p>
          <w:p w14:paraId="66F20A6D" w14:textId="037C1654" w:rsidR="00EA61FD" w:rsidRPr="00EA61FD" w:rsidRDefault="00EA61FD" w:rsidP="00EA61FD">
            <w:pPr>
              <w:pStyle w:val="ListParagraph"/>
              <w:numPr>
                <w:ilvl w:val="0"/>
                <w:numId w:val="29"/>
              </w:numPr>
              <w:shd w:val="clear" w:color="auto" w:fill="FFFFFF"/>
              <w:textAlignment w:val="baseline"/>
              <w:rPr>
                <w:rFonts w:asciiTheme="majorHAnsi" w:hAnsiTheme="majorHAnsi"/>
                <w:color w:val="000000"/>
                <w:sz w:val="20"/>
                <w:szCs w:val="20"/>
              </w:rPr>
            </w:pPr>
            <w:r w:rsidRPr="00EA61FD">
              <w:rPr>
                <w:rFonts w:asciiTheme="majorHAnsi" w:hAnsiTheme="majorHAnsi"/>
                <w:color w:val="000000"/>
                <w:sz w:val="20"/>
                <w:szCs w:val="20"/>
              </w:rPr>
              <w:t>Distance Learning, Telemedicine, and Broadband Program – $25 million The bill provides additional funding for the DLT grant program, which supports rural communities’ access to telecommunications-enabled information, audio, and video equipment, as well as related advanced technologies for students, teachers, and medical professionals.</w:t>
            </w:r>
          </w:p>
          <w:p w14:paraId="492AF5EB" w14:textId="77777777" w:rsidR="00852F6D" w:rsidRDefault="00852F6D" w:rsidP="00852F6D">
            <w:pPr>
              <w:shd w:val="clear" w:color="auto" w:fill="FFFFFF"/>
              <w:textAlignment w:val="baseline"/>
              <w:rPr>
                <w:rFonts w:asciiTheme="majorHAnsi" w:hAnsiTheme="majorHAnsi"/>
                <w:b/>
                <w:bCs/>
                <w:color w:val="000000"/>
                <w:sz w:val="20"/>
                <w:szCs w:val="20"/>
              </w:rPr>
            </w:pPr>
          </w:p>
        </w:tc>
      </w:tr>
      <w:tr w:rsidR="00852F6D" w:rsidRPr="00B13E33" w14:paraId="581F556B" w14:textId="77777777" w:rsidTr="0088042B">
        <w:tc>
          <w:tcPr>
            <w:tcW w:w="4675" w:type="dxa"/>
          </w:tcPr>
          <w:p w14:paraId="68DB89F2" w14:textId="63396DA6" w:rsidR="003F7651" w:rsidRDefault="003F7651" w:rsidP="003F7651">
            <w:pPr>
              <w:shd w:val="clear" w:color="auto" w:fill="FFFFFF"/>
              <w:textAlignment w:val="baseline"/>
              <w:rPr>
                <w:rFonts w:asciiTheme="majorHAnsi" w:hAnsiTheme="majorHAnsi"/>
                <w:b/>
                <w:bCs/>
                <w:color w:val="000000"/>
                <w:sz w:val="20"/>
                <w:szCs w:val="20"/>
              </w:rPr>
            </w:pPr>
            <w:r w:rsidRPr="003F7651">
              <w:rPr>
                <w:rFonts w:asciiTheme="majorHAnsi" w:hAnsiTheme="majorHAnsi"/>
                <w:b/>
                <w:bCs/>
                <w:color w:val="000000"/>
                <w:sz w:val="20"/>
                <w:szCs w:val="20"/>
              </w:rPr>
              <w:t xml:space="preserve">Small Business Administration </w:t>
            </w:r>
          </w:p>
          <w:p w14:paraId="4BEE8EB7" w14:textId="6821AA3D" w:rsidR="003F7651" w:rsidRDefault="003F7651" w:rsidP="003F7651">
            <w:pPr>
              <w:shd w:val="clear" w:color="auto" w:fill="FFFFFF"/>
              <w:textAlignment w:val="baseline"/>
              <w:rPr>
                <w:rFonts w:asciiTheme="majorHAnsi" w:hAnsiTheme="majorHAnsi"/>
                <w:b/>
                <w:bCs/>
                <w:color w:val="000000"/>
                <w:sz w:val="20"/>
                <w:szCs w:val="20"/>
              </w:rPr>
            </w:pPr>
            <w:r w:rsidRPr="003F7651">
              <w:rPr>
                <w:rFonts w:asciiTheme="majorHAnsi" w:hAnsiTheme="majorHAnsi"/>
                <w:b/>
                <w:bCs/>
                <w:color w:val="000000"/>
                <w:sz w:val="20"/>
                <w:szCs w:val="20"/>
              </w:rPr>
              <w:t xml:space="preserve">Disaster Loans Program Account </w:t>
            </w:r>
          </w:p>
          <w:p w14:paraId="7952C3D5" w14:textId="631BC1B1" w:rsidR="003F7651" w:rsidRPr="003F7651" w:rsidRDefault="003F7651" w:rsidP="003F7651">
            <w:pPr>
              <w:pStyle w:val="ListParagraph"/>
              <w:numPr>
                <w:ilvl w:val="0"/>
                <w:numId w:val="29"/>
              </w:numPr>
              <w:shd w:val="clear" w:color="auto" w:fill="FFFFFF"/>
              <w:textAlignment w:val="baseline"/>
              <w:rPr>
                <w:rFonts w:asciiTheme="majorHAnsi" w:hAnsiTheme="majorHAnsi"/>
                <w:color w:val="000000"/>
                <w:sz w:val="20"/>
                <w:szCs w:val="20"/>
              </w:rPr>
            </w:pPr>
            <w:r w:rsidRPr="003F7651">
              <w:rPr>
                <w:rFonts w:asciiTheme="majorHAnsi" w:hAnsiTheme="majorHAnsi"/>
                <w:color w:val="000000"/>
                <w:sz w:val="20"/>
                <w:szCs w:val="20"/>
              </w:rPr>
              <w:t>$562,000,000 for administrative expenses and program subsidy for the SBA Disaster Loans Program.</w:t>
            </w:r>
            <w:r>
              <w:rPr>
                <w:rFonts w:asciiTheme="majorHAnsi" w:hAnsiTheme="majorHAnsi"/>
                <w:color w:val="000000"/>
                <w:sz w:val="20"/>
                <w:szCs w:val="20"/>
              </w:rPr>
              <w:t xml:space="preserve"> </w:t>
            </w:r>
            <w:r w:rsidRPr="003F7651">
              <w:rPr>
                <w:rFonts w:asciiTheme="majorHAnsi" w:hAnsiTheme="majorHAnsi"/>
                <w:color w:val="000000"/>
                <w:sz w:val="20"/>
                <w:szCs w:val="20"/>
                <w:u w:val="single"/>
              </w:rPr>
              <w:t>Note for childcare businesses.</w:t>
            </w:r>
          </w:p>
          <w:p w14:paraId="06D5B9C1" w14:textId="77777777" w:rsidR="00852F6D" w:rsidRDefault="00852F6D" w:rsidP="00852F6D">
            <w:pPr>
              <w:shd w:val="clear" w:color="auto" w:fill="FFFFFF"/>
              <w:textAlignment w:val="baseline"/>
              <w:rPr>
                <w:rFonts w:asciiTheme="majorHAnsi" w:hAnsiTheme="majorHAnsi"/>
                <w:b/>
                <w:bCs/>
                <w:color w:val="000000"/>
                <w:sz w:val="20"/>
                <w:szCs w:val="20"/>
              </w:rPr>
            </w:pPr>
          </w:p>
        </w:tc>
        <w:tc>
          <w:tcPr>
            <w:tcW w:w="4675" w:type="dxa"/>
          </w:tcPr>
          <w:p w14:paraId="18DB7F6B" w14:textId="2E69D2C8" w:rsidR="007D2010" w:rsidRDefault="007D2010" w:rsidP="007D2010">
            <w:pPr>
              <w:shd w:val="clear" w:color="auto" w:fill="FFFFFF"/>
              <w:textAlignment w:val="baseline"/>
              <w:rPr>
                <w:rFonts w:asciiTheme="majorHAnsi" w:hAnsiTheme="majorHAnsi"/>
                <w:b/>
                <w:bCs/>
                <w:color w:val="000000"/>
                <w:sz w:val="20"/>
                <w:szCs w:val="20"/>
              </w:rPr>
            </w:pPr>
            <w:r w:rsidRPr="007D2010">
              <w:rPr>
                <w:rFonts w:asciiTheme="majorHAnsi" w:hAnsiTheme="majorHAnsi"/>
                <w:b/>
                <w:bCs/>
                <w:color w:val="000000"/>
                <w:sz w:val="20"/>
                <w:szCs w:val="20"/>
              </w:rPr>
              <w:t xml:space="preserve">Pediatric Environmental Health Specialty Units </w:t>
            </w:r>
            <w:r>
              <w:rPr>
                <w:rFonts w:asciiTheme="majorHAnsi" w:hAnsiTheme="majorHAnsi"/>
                <w:b/>
                <w:bCs/>
                <w:color w:val="000000"/>
                <w:sz w:val="20"/>
                <w:szCs w:val="20"/>
              </w:rPr>
              <w:t>a</w:t>
            </w:r>
            <w:r w:rsidRPr="007D2010">
              <w:rPr>
                <w:rFonts w:asciiTheme="majorHAnsi" w:hAnsiTheme="majorHAnsi"/>
                <w:b/>
                <w:bCs/>
                <w:color w:val="000000"/>
                <w:sz w:val="20"/>
                <w:szCs w:val="20"/>
              </w:rPr>
              <w:t xml:space="preserve">nd State Health Agencies </w:t>
            </w:r>
          </w:p>
          <w:p w14:paraId="15E9E919" w14:textId="4D859615" w:rsidR="007D2010" w:rsidRPr="007D2010" w:rsidRDefault="007D2010" w:rsidP="007D2010">
            <w:pPr>
              <w:pStyle w:val="ListParagraph"/>
              <w:numPr>
                <w:ilvl w:val="0"/>
                <w:numId w:val="29"/>
              </w:numPr>
              <w:shd w:val="clear" w:color="auto" w:fill="FFFFFF"/>
              <w:textAlignment w:val="baseline"/>
              <w:rPr>
                <w:rFonts w:asciiTheme="majorHAnsi" w:hAnsiTheme="majorHAnsi"/>
                <w:color w:val="000000"/>
                <w:sz w:val="20"/>
                <w:szCs w:val="20"/>
              </w:rPr>
            </w:pPr>
            <w:r w:rsidRPr="007D2010">
              <w:rPr>
                <w:rFonts w:asciiTheme="majorHAnsi" w:hAnsiTheme="majorHAnsi"/>
                <w:color w:val="000000"/>
                <w:sz w:val="20"/>
                <w:szCs w:val="20"/>
              </w:rPr>
              <w:t xml:space="preserve">$5 million to add capacity to provide guidance and outreach on best disinfectant and protective practices for homes, </w:t>
            </w:r>
            <w:r w:rsidRPr="007D2010">
              <w:rPr>
                <w:rFonts w:asciiTheme="majorHAnsi" w:hAnsiTheme="majorHAnsi"/>
                <w:color w:val="000000"/>
                <w:sz w:val="20"/>
                <w:szCs w:val="20"/>
                <w:u w:val="single"/>
              </w:rPr>
              <w:t>schools</w:t>
            </w:r>
            <w:r w:rsidRPr="007D2010">
              <w:rPr>
                <w:rFonts w:asciiTheme="majorHAnsi" w:hAnsiTheme="majorHAnsi"/>
                <w:color w:val="000000"/>
                <w:sz w:val="20"/>
                <w:szCs w:val="20"/>
              </w:rPr>
              <w:t>, and daycare facilities.</w:t>
            </w:r>
          </w:p>
          <w:p w14:paraId="5043E7C5" w14:textId="77777777" w:rsidR="00852F6D" w:rsidRDefault="00852F6D" w:rsidP="00852F6D">
            <w:pPr>
              <w:shd w:val="clear" w:color="auto" w:fill="FFFFFF"/>
              <w:textAlignment w:val="baseline"/>
              <w:rPr>
                <w:rFonts w:asciiTheme="majorHAnsi" w:hAnsiTheme="majorHAnsi"/>
                <w:b/>
                <w:bCs/>
                <w:color w:val="000000"/>
                <w:sz w:val="20"/>
                <w:szCs w:val="20"/>
              </w:rPr>
            </w:pPr>
          </w:p>
        </w:tc>
      </w:tr>
      <w:tr w:rsidR="00F369C4" w:rsidRPr="00B13E33" w14:paraId="38BAD5BA" w14:textId="77777777" w:rsidTr="0088042B">
        <w:tc>
          <w:tcPr>
            <w:tcW w:w="4675" w:type="dxa"/>
          </w:tcPr>
          <w:p w14:paraId="6861F56F" w14:textId="118B370C" w:rsidR="00F369C4" w:rsidRDefault="00F369C4" w:rsidP="00F369C4">
            <w:pPr>
              <w:shd w:val="clear" w:color="auto" w:fill="FFFFFF"/>
              <w:jc w:val="center"/>
              <w:textAlignment w:val="baseline"/>
              <w:rPr>
                <w:rFonts w:asciiTheme="majorHAnsi" w:hAnsiTheme="majorHAnsi"/>
                <w:b/>
                <w:bCs/>
                <w:color w:val="000000"/>
                <w:sz w:val="20"/>
                <w:szCs w:val="20"/>
              </w:rPr>
            </w:pPr>
            <w:r>
              <w:rPr>
                <w:rFonts w:asciiTheme="majorHAnsi" w:hAnsiTheme="majorHAnsi"/>
                <w:b/>
                <w:bCs/>
                <w:color w:val="000000"/>
                <w:sz w:val="20"/>
                <w:szCs w:val="20"/>
              </w:rPr>
              <w:t>O</w:t>
            </w:r>
            <w:r w:rsidR="00C40D56">
              <w:rPr>
                <w:rFonts w:asciiTheme="majorHAnsi" w:hAnsiTheme="majorHAnsi"/>
                <w:b/>
                <w:bCs/>
                <w:color w:val="000000"/>
                <w:sz w:val="20"/>
                <w:szCs w:val="20"/>
              </w:rPr>
              <w:t>t</w:t>
            </w:r>
            <w:r>
              <w:rPr>
                <w:rFonts w:asciiTheme="majorHAnsi" w:hAnsiTheme="majorHAnsi"/>
                <w:b/>
                <w:bCs/>
                <w:color w:val="000000"/>
                <w:sz w:val="20"/>
                <w:szCs w:val="20"/>
              </w:rPr>
              <w:t>her HHS</w:t>
            </w:r>
          </w:p>
          <w:p w14:paraId="77C3C596" w14:textId="77777777" w:rsidR="00F369C4" w:rsidRDefault="00F369C4" w:rsidP="00F369C4">
            <w:pPr>
              <w:shd w:val="clear" w:color="auto" w:fill="FFFFFF"/>
              <w:jc w:val="center"/>
              <w:textAlignment w:val="baseline"/>
              <w:rPr>
                <w:rFonts w:asciiTheme="majorHAnsi" w:hAnsiTheme="majorHAnsi"/>
                <w:b/>
                <w:bCs/>
                <w:color w:val="000000"/>
                <w:sz w:val="20"/>
                <w:szCs w:val="20"/>
              </w:rPr>
            </w:pPr>
          </w:p>
          <w:p w14:paraId="7993DC0E" w14:textId="0FCA9C25" w:rsidR="00F369C4" w:rsidRDefault="00F369C4" w:rsidP="00F369C4">
            <w:pPr>
              <w:shd w:val="clear" w:color="auto" w:fill="FFFFFF"/>
              <w:textAlignment w:val="baseline"/>
              <w:rPr>
                <w:rFonts w:asciiTheme="majorHAnsi" w:hAnsiTheme="majorHAnsi"/>
                <w:b/>
                <w:bCs/>
                <w:color w:val="000000"/>
                <w:sz w:val="20"/>
                <w:szCs w:val="20"/>
              </w:rPr>
            </w:pPr>
            <w:r w:rsidRPr="00F369C4">
              <w:rPr>
                <w:rFonts w:asciiTheme="majorHAnsi" w:hAnsiTheme="majorHAnsi"/>
                <w:b/>
                <w:bCs/>
                <w:color w:val="000000"/>
                <w:sz w:val="20"/>
                <w:szCs w:val="20"/>
              </w:rPr>
              <w:t>Family Violence Prevention and Services</w:t>
            </w:r>
          </w:p>
          <w:p w14:paraId="052BA48A" w14:textId="6AD4EB37" w:rsidR="00F369C4" w:rsidRPr="00F369C4" w:rsidRDefault="00F369C4" w:rsidP="00F369C4">
            <w:pPr>
              <w:pStyle w:val="ListParagraph"/>
              <w:numPr>
                <w:ilvl w:val="0"/>
                <w:numId w:val="29"/>
              </w:numPr>
              <w:shd w:val="clear" w:color="auto" w:fill="FFFFFF"/>
              <w:textAlignment w:val="baseline"/>
              <w:rPr>
                <w:rFonts w:asciiTheme="majorHAnsi" w:hAnsiTheme="majorHAnsi"/>
                <w:color w:val="000000"/>
                <w:sz w:val="20"/>
                <w:szCs w:val="20"/>
              </w:rPr>
            </w:pPr>
            <w:r w:rsidRPr="00F369C4">
              <w:rPr>
                <w:rFonts w:asciiTheme="majorHAnsi" w:hAnsiTheme="majorHAnsi"/>
                <w:color w:val="000000"/>
                <w:sz w:val="20"/>
                <w:szCs w:val="20"/>
              </w:rPr>
              <w:t>$45 million to provide additional support to family violence shelters, and $2 million in additional support for the National Domestic Violence</w:t>
            </w:r>
            <w:r>
              <w:rPr>
                <w:rFonts w:asciiTheme="majorHAnsi" w:hAnsiTheme="majorHAnsi"/>
                <w:color w:val="000000"/>
                <w:sz w:val="20"/>
                <w:szCs w:val="20"/>
              </w:rPr>
              <w:t xml:space="preserve"> </w:t>
            </w:r>
            <w:r w:rsidRPr="00F369C4">
              <w:rPr>
                <w:rFonts w:asciiTheme="majorHAnsi" w:hAnsiTheme="majorHAnsi"/>
                <w:color w:val="000000"/>
                <w:sz w:val="20"/>
                <w:szCs w:val="20"/>
              </w:rPr>
              <w:t xml:space="preserve">Hotline.  </w:t>
            </w:r>
          </w:p>
          <w:p w14:paraId="0D195DD3" w14:textId="77777777" w:rsidR="00F369C4" w:rsidRDefault="00F369C4" w:rsidP="00F369C4">
            <w:pPr>
              <w:shd w:val="clear" w:color="auto" w:fill="FFFFFF"/>
              <w:textAlignment w:val="baseline"/>
              <w:rPr>
                <w:rFonts w:asciiTheme="majorHAnsi" w:hAnsiTheme="majorHAnsi"/>
                <w:b/>
                <w:bCs/>
                <w:color w:val="000000"/>
                <w:sz w:val="20"/>
                <w:szCs w:val="20"/>
              </w:rPr>
            </w:pPr>
          </w:p>
          <w:p w14:paraId="549CD6F6" w14:textId="77777777" w:rsidR="00F369C4" w:rsidRDefault="00F369C4" w:rsidP="00F369C4">
            <w:pPr>
              <w:shd w:val="clear" w:color="auto" w:fill="FFFFFF"/>
              <w:textAlignment w:val="baseline"/>
              <w:rPr>
                <w:rFonts w:asciiTheme="majorHAnsi" w:hAnsiTheme="majorHAnsi"/>
                <w:b/>
                <w:bCs/>
                <w:color w:val="000000"/>
                <w:sz w:val="20"/>
                <w:szCs w:val="20"/>
              </w:rPr>
            </w:pPr>
            <w:r w:rsidRPr="00F369C4">
              <w:rPr>
                <w:rFonts w:asciiTheme="majorHAnsi" w:hAnsiTheme="majorHAnsi"/>
                <w:b/>
                <w:bCs/>
                <w:color w:val="000000"/>
                <w:sz w:val="20"/>
                <w:szCs w:val="20"/>
              </w:rPr>
              <w:t>Runaway and Homeless Youth Programs</w:t>
            </w:r>
          </w:p>
          <w:p w14:paraId="21BBBFB3" w14:textId="77777777" w:rsidR="00F369C4" w:rsidRPr="00F369C4" w:rsidRDefault="00F369C4" w:rsidP="00F369C4">
            <w:pPr>
              <w:pStyle w:val="ListParagraph"/>
              <w:numPr>
                <w:ilvl w:val="0"/>
                <w:numId w:val="29"/>
              </w:numPr>
              <w:shd w:val="clear" w:color="auto" w:fill="FFFFFF"/>
              <w:textAlignment w:val="baseline"/>
              <w:rPr>
                <w:rFonts w:asciiTheme="majorHAnsi" w:hAnsiTheme="majorHAnsi"/>
                <w:color w:val="000000"/>
                <w:sz w:val="20"/>
                <w:szCs w:val="20"/>
              </w:rPr>
            </w:pPr>
            <w:r w:rsidRPr="00F369C4">
              <w:rPr>
                <w:rFonts w:asciiTheme="majorHAnsi" w:hAnsiTheme="majorHAnsi"/>
                <w:color w:val="000000"/>
                <w:sz w:val="20"/>
                <w:szCs w:val="20"/>
              </w:rPr>
              <w:t xml:space="preserve">$25 million for additional immediate assistance to current programs providing critical services and housing for runaway and homeless youth. </w:t>
            </w:r>
          </w:p>
          <w:p w14:paraId="6FBD6C2E" w14:textId="77777777" w:rsidR="00F369C4" w:rsidRPr="00F369C4" w:rsidRDefault="00F369C4" w:rsidP="00F369C4">
            <w:pPr>
              <w:pStyle w:val="ListParagraph"/>
              <w:shd w:val="clear" w:color="auto" w:fill="FFFFFF"/>
              <w:textAlignment w:val="baseline"/>
              <w:rPr>
                <w:rFonts w:asciiTheme="majorHAnsi" w:hAnsiTheme="majorHAnsi"/>
                <w:b/>
                <w:bCs/>
                <w:color w:val="000000"/>
                <w:sz w:val="20"/>
                <w:szCs w:val="20"/>
              </w:rPr>
            </w:pPr>
          </w:p>
          <w:p w14:paraId="69ECE512" w14:textId="71E1C60C" w:rsidR="00F369C4" w:rsidRPr="00F369C4" w:rsidRDefault="00F369C4" w:rsidP="00F369C4">
            <w:pPr>
              <w:shd w:val="clear" w:color="auto" w:fill="FFFFFF"/>
              <w:textAlignment w:val="baseline"/>
              <w:rPr>
                <w:rFonts w:asciiTheme="majorHAnsi" w:hAnsiTheme="majorHAnsi"/>
                <w:b/>
                <w:bCs/>
                <w:color w:val="000000"/>
                <w:sz w:val="20"/>
                <w:szCs w:val="20"/>
              </w:rPr>
            </w:pPr>
            <w:r w:rsidRPr="00F369C4">
              <w:rPr>
                <w:rFonts w:asciiTheme="majorHAnsi" w:hAnsiTheme="majorHAnsi"/>
                <w:b/>
                <w:bCs/>
                <w:color w:val="000000"/>
                <w:sz w:val="20"/>
                <w:szCs w:val="20"/>
              </w:rPr>
              <w:t>Child Welfare Services</w:t>
            </w:r>
          </w:p>
          <w:p w14:paraId="1547C204" w14:textId="7D77A55B" w:rsidR="00F369C4" w:rsidRPr="00F369C4" w:rsidRDefault="00F369C4" w:rsidP="00F369C4">
            <w:pPr>
              <w:pStyle w:val="ListParagraph"/>
              <w:numPr>
                <w:ilvl w:val="0"/>
                <w:numId w:val="29"/>
              </w:numPr>
              <w:shd w:val="clear" w:color="auto" w:fill="FFFFFF"/>
              <w:textAlignment w:val="baseline"/>
              <w:rPr>
                <w:rFonts w:asciiTheme="majorHAnsi" w:hAnsiTheme="majorHAnsi"/>
                <w:color w:val="000000"/>
                <w:sz w:val="20"/>
                <w:szCs w:val="20"/>
              </w:rPr>
            </w:pPr>
            <w:r w:rsidRPr="00F369C4">
              <w:rPr>
                <w:rFonts w:asciiTheme="majorHAnsi" w:hAnsiTheme="majorHAnsi"/>
                <w:color w:val="000000"/>
                <w:sz w:val="20"/>
                <w:szCs w:val="20"/>
              </w:rPr>
              <w:t>$45 million for grants to states to support the child welfare needs of families during this crisis, and to help keep families together.</w:t>
            </w:r>
          </w:p>
          <w:p w14:paraId="4324D07D" w14:textId="19BC5051" w:rsidR="00F369C4" w:rsidRPr="003F7651" w:rsidRDefault="00F369C4" w:rsidP="003F7651">
            <w:pPr>
              <w:shd w:val="clear" w:color="auto" w:fill="FFFFFF"/>
              <w:textAlignment w:val="baseline"/>
              <w:rPr>
                <w:rFonts w:asciiTheme="majorHAnsi" w:hAnsiTheme="majorHAnsi"/>
                <w:b/>
                <w:bCs/>
                <w:color w:val="000000"/>
                <w:sz w:val="20"/>
                <w:szCs w:val="20"/>
              </w:rPr>
            </w:pPr>
          </w:p>
        </w:tc>
        <w:tc>
          <w:tcPr>
            <w:tcW w:w="4675" w:type="dxa"/>
          </w:tcPr>
          <w:p w14:paraId="40302179" w14:textId="77777777" w:rsidR="00C40D56" w:rsidRDefault="00C40D56" w:rsidP="007D2010">
            <w:pPr>
              <w:shd w:val="clear" w:color="auto" w:fill="FFFFFF"/>
              <w:textAlignment w:val="baseline"/>
              <w:rPr>
                <w:rFonts w:asciiTheme="majorHAnsi" w:hAnsiTheme="majorHAnsi"/>
                <w:color w:val="000000"/>
                <w:sz w:val="20"/>
                <w:szCs w:val="20"/>
              </w:rPr>
            </w:pPr>
          </w:p>
          <w:p w14:paraId="1B73C02E" w14:textId="77777777" w:rsidR="00C40D56" w:rsidRDefault="00C40D56" w:rsidP="00C40D56">
            <w:pPr>
              <w:shd w:val="clear" w:color="auto" w:fill="FFFFFF"/>
              <w:jc w:val="center"/>
              <w:textAlignment w:val="baseline"/>
              <w:rPr>
                <w:rFonts w:asciiTheme="majorHAnsi" w:hAnsiTheme="majorHAnsi"/>
                <w:color w:val="000000"/>
                <w:sz w:val="20"/>
                <w:szCs w:val="20"/>
              </w:rPr>
            </w:pPr>
          </w:p>
          <w:p w14:paraId="6979DCA6" w14:textId="77777777" w:rsidR="00C40D56" w:rsidRDefault="00C40D56" w:rsidP="00C40D56">
            <w:pPr>
              <w:shd w:val="clear" w:color="auto" w:fill="FFFFFF"/>
              <w:jc w:val="center"/>
              <w:textAlignment w:val="baseline"/>
              <w:rPr>
                <w:rFonts w:asciiTheme="majorHAnsi" w:hAnsiTheme="majorHAnsi"/>
                <w:b/>
                <w:bCs/>
                <w:color w:val="000000"/>
                <w:sz w:val="20"/>
                <w:szCs w:val="20"/>
              </w:rPr>
            </w:pPr>
          </w:p>
          <w:p w14:paraId="025C32FD" w14:textId="77777777" w:rsidR="00C40D56" w:rsidRDefault="00C40D56" w:rsidP="00C40D56">
            <w:pPr>
              <w:shd w:val="clear" w:color="auto" w:fill="FFFFFF"/>
              <w:jc w:val="center"/>
              <w:textAlignment w:val="baseline"/>
              <w:rPr>
                <w:rFonts w:asciiTheme="majorHAnsi" w:hAnsiTheme="majorHAnsi"/>
                <w:b/>
                <w:bCs/>
                <w:color w:val="000000"/>
                <w:sz w:val="20"/>
                <w:szCs w:val="20"/>
              </w:rPr>
            </w:pPr>
          </w:p>
          <w:p w14:paraId="3B367153" w14:textId="77777777" w:rsidR="00C40D56" w:rsidRDefault="00C40D56" w:rsidP="00C40D56">
            <w:pPr>
              <w:shd w:val="clear" w:color="auto" w:fill="FFFFFF"/>
              <w:jc w:val="center"/>
              <w:textAlignment w:val="baseline"/>
              <w:rPr>
                <w:rFonts w:asciiTheme="majorHAnsi" w:hAnsiTheme="majorHAnsi"/>
                <w:b/>
                <w:bCs/>
                <w:color w:val="000000"/>
                <w:sz w:val="20"/>
                <w:szCs w:val="20"/>
              </w:rPr>
            </w:pPr>
          </w:p>
          <w:p w14:paraId="765F1523" w14:textId="261CD57A" w:rsidR="00F369C4" w:rsidRPr="00C40D56" w:rsidRDefault="00C40D56" w:rsidP="00C40D56">
            <w:pPr>
              <w:shd w:val="clear" w:color="auto" w:fill="FFFFFF"/>
              <w:jc w:val="center"/>
              <w:textAlignment w:val="baseline"/>
              <w:rPr>
                <w:rFonts w:asciiTheme="majorHAnsi" w:hAnsiTheme="majorHAnsi"/>
                <w:color w:val="000000"/>
                <w:sz w:val="20"/>
                <w:szCs w:val="20"/>
              </w:rPr>
            </w:pPr>
            <w:r w:rsidRPr="00C40D56">
              <w:rPr>
                <w:rFonts w:asciiTheme="majorHAnsi" w:hAnsiTheme="majorHAnsi"/>
                <w:b/>
                <w:bCs/>
                <w:color w:val="000000"/>
                <w:sz w:val="20"/>
                <w:szCs w:val="20"/>
              </w:rPr>
              <w:t>The Senate Appropriations Committee’s summary of the third emergency bill’s non-education provisions are</w:t>
            </w:r>
            <w:r w:rsidRPr="00C40D56">
              <w:rPr>
                <w:rFonts w:asciiTheme="majorHAnsi" w:hAnsiTheme="majorHAnsi"/>
                <w:color w:val="000000"/>
                <w:sz w:val="20"/>
                <w:szCs w:val="20"/>
              </w:rPr>
              <w:t xml:space="preserve"> </w:t>
            </w:r>
            <w:hyperlink r:id="rId16" w:history="1">
              <w:r w:rsidRPr="00C40D56">
                <w:rPr>
                  <w:rStyle w:val="Hyperlink"/>
                  <w:rFonts w:asciiTheme="majorHAnsi" w:hAnsiTheme="majorHAnsi"/>
                  <w:b/>
                  <w:bCs/>
                  <w:sz w:val="20"/>
                  <w:szCs w:val="20"/>
                </w:rPr>
                <w:t>available here</w:t>
              </w:r>
            </w:hyperlink>
            <w:r w:rsidRPr="00C40D56">
              <w:rPr>
                <w:rFonts w:asciiTheme="majorHAnsi" w:hAnsiTheme="majorHAnsi"/>
                <w:color w:val="000000"/>
                <w:sz w:val="20"/>
                <w:szCs w:val="20"/>
              </w:rPr>
              <w:t>.</w:t>
            </w:r>
          </w:p>
        </w:tc>
      </w:tr>
    </w:tbl>
    <w:p w14:paraId="00000064" w14:textId="65E3D769" w:rsidR="003602A0" w:rsidRPr="00B13E33" w:rsidRDefault="00787190">
      <w:pPr>
        <w:spacing w:before="220" w:after="220"/>
        <w:rPr>
          <w:rFonts w:asciiTheme="majorHAnsi" w:hAnsiTheme="majorHAnsi"/>
          <w:b/>
          <w:sz w:val="20"/>
          <w:szCs w:val="20"/>
        </w:rPr>
      </w:pPr>
      <w:r w:rsidRPr="00B13E33">
        <w:rPr>
          <w:rFonts w:asciiTheme="majorHAnsi" w:hAnsiTheme="majorHAnsi"/>
          <w:sz w:val="20"/>
          <w:szCs w:val="20"/>
        </w:rPr>
        <w:t xml:space="preserve"> </w:t>
      </w:r>
    </w:p>
    <w:sectPr w:rsidR="003602A0" w:rsidRPr="00B13E3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07D8" w14:textId="77777777" w:rsidR="009B582C" w:rsidRDefault="009B582C" w:rsidP="00C40D56">
      <w:r>
        <w:separator/>
      </w:r>
    </w:p>
  </w:endnote>
  <w:endnote w:type="continuationSeparator" w:id="0">
    <w:p w14:paraId="41290C4E" w14:textId="77777777" w:rsidR="009B582C" w:rsidRDefault="009B582C" w:rsidP="00C4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Vinn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516866"/>
      <w:docPartObj>
        <w:docPartGallery w:val="Page Numbers (Bottom of Page)"/>
        <w:docPartUnique/>
      </w:docPartObj>
    </w:sdtPr>
    <w:sdtEndPr>
      <w:rPr>
        <w:rStyle w:val="PageNumber"/>
      </w:rPr>
    </w:sdtEndPr>
    <w:sdtContent>
      <w:p w14:paraId="105B78F9" w14:textId="51B8202A" w:rsidR="00787190" w:rsidRDefault="00787190" w:rsidP="00787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4897D" w14:textId="77777777" w:rsidR="00787190" w:rsidRDefault="00787190" w:rsidP="00C40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sz w:val="22"/>
        <w:szCs w:val="22"/>
      </w:rPr>
      <w:id w:val="-425889708"/>
      <w:docPartObj>
        <w:docPartGallery w:val="Page Numbers (Bottom of Page)"/>
        <w:docPartUnique/>
      </w:docPartObj>
    </w:sdtPr>
    <w:sdtEndPr>
      <w:rPr>
        <w:rStyle w:val="PageNumber"/>
      </w:rPr>
    </w:sdtEndPr>
    <w:sdtContent>
      <w:p w14:paraId="5EB4031F" w14:textId="0A621EFE" w:rsidR="00787190" w:rsidRPr="00C40D56" w:rsidRDefault="00787190" w:rsidP="00787190">
        <w:pPr>
          <w:pStyle w:val="Footer"/>
          <w:framePr w:wrap="none" w:vAnchor="text" w:hAnchor="margin" w:xAlign="right" w:y="1"/>
          <w:rPr>
            <w:rStyle w:val="PageNumber"/>
            <w:rFonts w:asciiTheme="majorHAnsi" w:hAnsiTheme="majorHAnsi"/>
            <w:sz w:val="22"/>
            <w:szCs w:val="22"/>
          </w:rPr>
        </w:pPr>
        <w:r w:rsidRPr="00C40D56">
          <w:rPr>
            <w:rStyle w:val="PageNumber"/>
            <w:rFonts w:asciiTheme="majorHAnsi" w:hAnsiTheme="majorHAnsi"/>
            <w:sz w:val="22"/>
            <w:szCs w:val="22"/>
          </w:rPr>
          <w:fldChar w:fldCharType="begin"/>
        </w:r>
        <w:r w:rsidRPr="00C40D56">
          <w:rPr>
            <w:rStyle w:val="PageNumber"/>
            <w:rFonts w:asciiTheme="majorHAnsi" w:hAnsiTheme="majorHAnsi"/>
            <w:sz w:val="22"/>
            <w:szCs w:val="22"/>
          </w:rPr>
          <w:instrText xml:space="preserve"> PAGE </w:instrText>
        </w:r>
        <w:r w:rsidRPr="00C40D56">
          <w:rPr>
            <w:rStyle w:val="PageNumber"/>
            <w:rFonts w:asciiTheme="majorHAnsi" w:hAnsiTheme="majorHAnsi"/>
            <w:sz w:val="22"/>
            <w:szCs w:val="22"/>
          </w:rPr>
          <w:fldChar w:fldCharType="separate"/>
        </w:r>
        <w:r w:rsidRPr="00C40D56">
          <w:rPr>
            <w:rStyle w:val="PageNumber"/>
            <w:rFonts w:asciiTheme="majorHAnsi" w:hAnsiTheme="majorHAnsi"/>
            <w:noProof/>
            <w:sz w:val="22"/>
            <w:szCs w:val="22"/>
          </w:rPr>
          <w:t>1</w:t>
        </w:r>
        <w:r w:rsidRPr="00C40D56">
          <w:rPr>
            <w:rStyle w:val="PageNumber"/>
            <w:rFonts w:asciiTheme="majorHAnsi" w:hAnsiTheme="majorHAnsi"/>
            <w:sz w:val="22"/>
            <w:szCs w:val="22"/>
          </w:rPr>
          <w:fldChar w:fldCharType="end"/>
        </w:r>
      </w:p>
    </w:sdtContent>
  </w:sdt>
  <w:p w14:paraId="68780065" w14:textId="77777777" w:rsidR="00787190" w:rsidRPr="00C40D56" w:rsidRDefault="00787190" w:rsidP="00C40D56">
    <w:pPr>
      <w:pStyle w:val="Footer"/>
      <w:ind w:right="360"/>
      <w:rPr>
        <w:rFonts w:asciiTheme="majorHAnsi" w:hAnsiTheme="maj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8712" w14:textId="77777777" w:rsidR="00881129" w:rsidRDefault="0088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320F" w14:textId="77777777" w:rsidR="009B582C" w:rsidRDefault="009B582C" w:rsidP="00C40D56">
      <w:r>
        <w:separator/>
      </w:r>
    </w:p>
  </w:footnote>
  <w:footnote w:type="continuationSeparator" w:id="0">
    <w:p w14:paraId="581F239E" w14:textId="77777777" w:rsidR="009B582C" w:rsidRDefault="009B582C" w:rsidP="00C4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998A" w14:textId="77777777" w:rsidR="00881129" w:rsidRDefault="0088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D2BA" w14:textId="27C48DC8" w:rsidR="009A6B98" w:rsidRPr="009A6B98" w:rsidRDefault="00881129">
    <w:pPr>
      <w:pStyle w:val="Header"/>
      <w:rPr>
        <w:rFonts w:asciiTheme="majorHAnsi" w:hAnsiTheme="majorHAnsi"/>
        <w:sz w:val="20"/>
        <w:szCs w:val="20"/>
      </w:rPr>
    </w:pPr>
    <w:r>
      <w:rPr>
        <w:rFonts w:asciiTheme="majorHAnsi" w:hAnsiTheme="majorHAnsi"/>
        <w:sz w:val="20"/>
        <w:szCs w:val="20"/>
      </w:rPr>
      <w:t xml:space="preserve">Last updated </w:t>
    </w:r>
    <w:r w:rsidR="009A6B98" w:rsidRPr="009A6B98">
      <w:rPr>
        <w:rFonts w:asciiTheme="majorHAnsi" w:hAnsiTheme="majorHAnsi"/>
        <w:sz w:val="20"/>
        <w:szCs w:val="20"/>
      </w:rPr>
      <w:t>March 2</w:t>
    </w:r>
    <w:r w:rsidR="00A53FB8">
      <w:rPr>
        <w:rFonts w:asciiTheme="majorHAnsi" w:hAnsiTheme="majorHAnsi"/>
        <w:sz w:val="20"/>
        <w:szCs w:val="20"/>
      </w:rPr>
      <w:t>7</w:t>
    </w:r>
    <w:r w:rsidR="009A6B98" w:rsidRPr="009A6B98">
      <w:rPr>
        <w:rFonts w:asciiTheme="majorHAnsi" w:hAnsiTheme="majorHAnsi"/>
        <w:sz w:val="20"/>
        <w:szCs w:val="20"/>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FE6D" w14:textId="77777777" w:rsidR="00881129" w:rsidRDefault="0088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26D"/>
    <w:multiLevelType w:val="multilevel"/>
    <w:tmpl w:val="0912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B6899"/>
    <w:multiLevelType w:val="hybridMultilevel"/>
    <w:tmpl w:val="676294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E87B09"/>
    <w:multiLevelType w:val="hybridMultilevel"/>
    <w:tmpl w:val="CC100F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7FDA"/>
    <w:multiLevelType w:val="multilevel"/>
    <w:tmpl w:val="39E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16BB8"/>
    <w:multiLevelType w:val="multilevel"/>
    <w:tmpl w:val="97C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6230E"/>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B763C2"/>
    <w:multiLevelType w:val="multilevel"/>
    <w:tmpl w:val="93D6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72391"/>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A16F6"/>
    <w:multiLevelType w:val="multilevel"/>
    <w:tmpl w:val="11A2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E7DEA"/>
    <w:multiLevelType w:val="multilevel"/>
    <w:tmpl w:val="BA1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C779D"/>
    <w:multiLevelType w:val="multilevel"/>
    <w:tmpl w:val="100AD0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0512FF"/>
    <w:multiLevelType w:val="multilevel"/>
    <w:tmpl w:val="FDA0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E7DAB"/>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13BF5"/>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C51C11"/>
    <w:multiLevelType w:val="multilevel"/>
    <w:tmpl w:val="F35A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E13F17"/>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233886"/>
    <w:multiLevelType w:val="multilevel"/>
    <w:tmpl w:val="33D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D2FEE"/>
    <w:multiLevelType w:val="multilevel"/>
    <w:tmpl w:val="E432D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0E778A"/>
    <w:multiLevelType w:val="multilevel"/>
    <w:tmpl w:val="6B2C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B7D2D"/>
    <w:multiLevelType w:val="multilevel"/>
    <w:tmpl w:val="6FA203C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540000"/>
    <w:multiLevelType w:val="multilevel"/>
    <w:tmpl w:val="7DFA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310748"/>
    <w:multiLevelType w:val="multilevel"/>
    <w:tmpl w:val="24B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9637B"/>
    <w:multiLevelType w:val="multilevel"/>
    <w:tmpl w:val="5E0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2451C"/>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4D18CD"/>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301A3B"/>
    <w:multiLevelType w:val="multilevel"/>
    <w:tmpl w:val="19B6E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cs="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A30696"/>
    <w:multiLevelType w:val="multilevel"/>
    <w:tmpl w:val="9EEC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836E2"/>
    <w:multiLevelType w:val="multilevel"/>
    <w:tmpl w:val="835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D064F"/>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4537C8"/>
    <w:multiLevelType w:val="multilevel"/>
    <w:tmpl w:val="7E6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22CC1"/>
    <w:multiLevelType w:val="multilevel"/>
    <w:tmpl w:val="5D7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E6F0E"/>
    <w:multiLevelType w:val="multilevel"/>
    <w:tmpl w:val="9156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256A0"/>
    <w:multiLevelType w:val="multilevel"/>
    <w:tmpl w:val="EFB47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790E3B"/>
    <w:multiLevelType w:val="multilevel"/>
    <w:tmpl w:val="1AD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4"/>
  </w:num>
  <w:num w:numId="4">
    <w:abstractNumId w:val="0"/>
  </w:num>
  <w:num w:numId="5">
    <w:abstractNumId w:val="10"/>
  </w:num>
  <w:num w:numId="6">
    <w:abstractNumId w:val="32"/>
  </w:num>
  <w:num w:numId="7">
    <w:abstractNumId w:val="20"/>
  </w:num>
  <w:num w:numId="8">
    <w:abstractNumId w:val="16"/>
  </w:num>
  <w:num w:numId="9">
    <w:abstractNumId w:val="1"/>
  </w:num>
  <w:num w:numId="10">
    <w:abstractNumId w:val="31"/>
  </w:num>
  <w:num w:numId="11">
    <w:abstractNumId w:val="21"/>
  </w:num>
  <w:num w:numId="12">
    <w:abstractNumId w:val="33"/>
  </w:num>
  <w:num w:numId="13">
    <w:abstractNumId w:val="27"/>
  </w:num>
  <w:num w:numId="14">
    <w:abstractNumId w:val="30"/>
  </w:num>
  <w:num w:numId="15">
    <w:abstractNumId w:val="8"/>
  </w:num>
  <w:num w:numId="16">
    <w:abstractNumId w:val="11"/>
  </w:num>
  <w:num w:numId="17">
    <w:abstractNumId w:val="9"/>
  </w:num>
  <w:num w:numId="18">
    <w:abstractNumId w:val="3"/>
  </w:num>
  <w:num w:numId="19">
    <w:abstractNumId w:val="22"/>
  </w:num>
  <w:num w:numId="20">
    <w:abstractNumId w:val="29"/>
  </w:num>
  <w:num w:numId="21">
    <w:abstractNumId w:val="26"/>
  </w:num>
  <w:num w:numId="22">
    <w:abstractNumId w:val="18"/>
  </w:num>
  <w:num w:numId="23">
    <w:abstractNumId w:val="4"/>
  </w:num>
  <w:num w:numId="24">
    <w:abstractNumId w:val="6"/>
  </w:num>
  <w:num w:numId="25">
    <w:abstractNumId w:val="25"/>
  </w:num>
  <w:num w:numId="26">
    <w:abstractNumId w:val="13"/>
  </w:num>
  <w:num w:numId="27">
    <w:abstractNumId w:val="15"/>
  </w:num>
  <w:num w:numId="28">
    <w:abstractNumId w:val="5"/>
  </w:num>
  <w:num w:numId="29">
    <w:abstractNumId w:val="12"/>
  </w:num>
  <w:num w:numId="30">
    <w:abstractNumId w:val="24"/>
  </w:num>
  <w:num w:numId="31">
    <w:abstractNumId w:val="23"/>
  </w:num>
  <w:num w:numId="32">
    <w:abstractNumId w:val="7"/>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A0"/>
    <w:rsid w:val="00054C37"/>
    <w:rsid w:val="00064BCF"/>
    <w:rsid w:val="001352EF"/>
    <w:rsid w:val="00151826"/>
    <w:rsid w:val="001D649A"/>
    <w:rsid w:val="00211679"/>
    <w:rsid w:val="00212FCC"/>
    <w:rsid w:val="002304DD"/>
    <w:rsid w:val="0028712E"/>
    <w:rsid w:val="002A1B64"/>
    <w:rsid w:val="002F19E1"/>
    <w:rsid w:val="002F1AD6"/>
    <w:rsid w:val="0032028E"/>
    <w:rsid w:val="0032705E"/>
    <w:rsid w:val="003602A0"/>
    <w:rsid w:val="00393166"/>
    <w:rsid w:val="003F7651"/>
    <w:rsid w:val="004141D4"/>
    <w:rsid w:val="004350EF"/>
    <w:rsid w:val="005D47BE"/>
    <w:rsid w:val="006679D5"/>
    <w:rsid w:val="006736E2"/>
    <w:rsid w:val="0074382B"/>
    <w:rsid w:val="00774ABB"/>
    <w:rsid w:val="00787190"/>
    <w:rsid w:val="007D2010"/>
    <w:rsid w:val="00852F6D"/>
    <w:rsid w:val="0086136E"/>
    <w:rsid w:val="008707F7"/>
    <w:rsid w:val="0088042B"/>
    <w:rsid w:val="00881129"/>
    <w:rsid w:val="009071F7"/>
    <w:rsid w:val="00944AE7"/>
    <w:rsid w:val="009906A9"/>
    <w:rsid w:val="00990CFB"/>
    <w:rsid w:val="009A6B98"/>
    <w:rsid w:val="009B2247"/>
    <w:rsid w:val="009B582C"/>
    <w:rsid w:val="00A53FB8"/>
    <w:rsid w:val="00A677F6"/>
    <w:rsid w:val="00B13E33"/>
    <w:rsid w:val="00B44810"/>
    <w:rsid w:val="00B65216"/>
    <w:rsid w:val="00B73C45"/>
    <w:rsid w:val="00B84C11"/>
    <w:rsid w:val="00BE1261"/>
    <w:rsid w:val="00C40D56"/>
    <w:rsid w:val="00C526DE"/>
    <w:rsid w:val="00C527AF"/>
    <w:rsid w:val="00C807B9"/>
    <w:rsid w:val="00CE5F41"/>
    <w:rsid w:val="00D93EFD"/>
    <w:rsid w:val="00DB0A38"/>
    <w:rsid w:val="00DB7072"/>
    <w:rsid w:val="00DF1945"/>
    <w:rsid w:val="00E2417B"/>
    <w:rsid w:val="00E3753C"/>
    <w:rsid w:val="00E53122"/>
    <w:rsid w:val="00EA61FD"/>
    <w:rsid w:val="00F0409C"/>
    <w:rsid w:val="00F20CA6"/>
    <w:rsid w:val="00F369C4"/>
    <w:rsid w:val="00F41139"/>
    <w:rsid w:val="00F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7F2F"/>
  <w15:docId w15:val="{59CF0D42-7D77-F941-9908-C6F84FC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F6"/>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93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EFD"/>
    <w:pPr>
      <w:ind w:left="720"/>
      <w:contextualSpacing/>
    </w:pPr>
  </w:style>
  <w:style w:type="paragraph" w:styleId="NormalWeb">
    <w:name w:val="Normal (Web)"/>
    <w:basedOn w:val="Normal"/>
    <w:uiPriority w:val="99"/>
    <w:semiHidden/>
    <w:unhideWhenUsed/>
    <w:rsid w:val="00990CFB"/>
    <w:pPr>
      <w:spacing w:before="100" w:beforeAutospacing="1" w:after="100" w:afterAutospacing="1"/>
    </w:pPr>
  </w:style>
  <w:style w:type="character" w:styleId="Hyperlink">
    <w:name w:val="Hyperlink"/>
    <w:basedOn w:val="DefaultParagraphFont"/>
    <w:uiPriority w:val="99"/>
    <w:unhideWhenUsed/>
    <w:rsid w:val="001352EF"/>
    <w:rPr>
      <w:color w:val="0000FF" w:themeColor="hyperlink"/>
      <w:u w:val="single"/>
    </w:rPr>
  </w:style>
  <w:style w:type="character" w:styleId="UnresolvedMention">
    <w:name w:val="Unresolved Mention"/>
    <w:basedOn w:val="DefaultParagraphFont"/>
    <w:uiPriority w:val="99"/>
    <w:semiHidden/>
    <w:unhideWhenUsed/>
    <w:rsid w:val="001352EF"/>
    <w:rPr>
      <w:color w:val="605E5C"/>
      <w:shd w:val="clear" w:color="auto" w:fill="E1DFDD"/>
    </w:rPr>
  </w:style>
  <w:style w:type="paragraph" w:styleId="Footer">
    <w:name w:val="footer"/>
    <w:basedOn w:val="Normal"/>
    <w:link w:val="FooterChar"/>
    <w:uiPriority w:val="99"/>
    <w:unhideWhenUsed/>
    <w:rsid w:val="00C40D56"/>
    <w:pPr>
      <w:tabs>
        <w:tab w:val="center" w:pos="4680"/>
        <w:tab w:val="right" w:pos="9360"/>
      </w:tabs>
    </w:pPr>
  </w:style>
  <w:style w:type="character" w:customStyle="1" w:styleId="FooterChar">
    <w:name w:val="Footer Char"/>
    <w:basedOn w:val="DefaultParagraphFont"/>
    <w:link w:val="Footer"/>
    <w:uiPriority w:val="99"/>
    <w:rsid w:val="00C40D56"/>
    <w:rPr>
      <w:rFonts w:ascii="Times New Roman" w:eastAsia="Times New Roman" w:hAnsi="Times New Roman" w:cs="Times New Roman"/>
    </w:rPr>
  </w:style>
  <w:style w:type="character" w:styleId="PageNumber">
    <w:name w:val="page number"/>
    <w:basedOn w:val="DefaultParagraphFont"/>
    <w:uiPriority w:val="99"/>
    <w:semiHidden/>
    <w:unhideWhenUsed/>
    <w:rsid w:val="00C40D56"/>
  </w:style>
  <w:style w:type="paragraph" w:styleId="Header">
    <w:name w:val="header"/>
    <w:basedOn w:val="Normal"/>
    <w:link w:val="HeaderChar"/>
    <w:uiPriority w:val="99"/>
    <w:unhideWhenUsed/>
    <w:rsid w:val="00C40D56"/>
    <w:pPr>
      <w:tabs>
        <w:tab w:val="center" w:pos="4680"/>
        <w:tab w:val="right" w:pos="9360"/>
      </w:tabs>
    </w:pPr>
  </w:style>
  <w:style w:type="character" w:customStyle="1" w:styleId="HeaderChar">
    <w:name w:val="Header Char"/>
    <w:basedOn w:val="DefaultParagraphFont"/>
    <w:link w:val="Header"/>
    <w:uiPriority w:val="99"/>
    <w:rsid w:val="00C40D5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2FCC"/>
    <w:rPr>
      <w:sz w:val="18"/>
      <w:szCs w:val="18"/>
    </w:rPr>
  </w:style>
  <w:style w:type="character" w:customStyle="1" w:styleId="BalloonTextChar">
    <w:name w:val="Balloon Text Char"/>
    <w:basedOn w:val="DefaultParagraphFont"/>
    <w:link w:val="BalloonText"/>
    <w:uiPriority w:val="99"/>
    <w:semiHidden/>
    <w:rsid w:val="00212FC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D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8718779">
      <w:bodyDiv w:val="1"/>
      <w:marLeft w:val="0"/>
      <w:marRight w:val="0"/>
      <w:marTop w:val="0"/>
      <w:marBottom w:val="0"/>
      <w:divBdr>
        <w:top w:val="none" w:sz="0" w:space="0" w:color="auto"/>
        <w:left w:val="none" w:sz="0" w:space="0" w:color="auto"/>
        <w:bottom w:val="none" w:sz="0" w:space="0" w:color="auto"/>
        <w:right w:val="none" w:sz="0" w:space="0" w:color="auto"/>
      </w:divBdr>
    </w:div>
    <w:div w:id="11811436">
      <w:bodyDiv w:val="1"/>
      <w:marLeft w:val="0"/>
      <w:marRight w:val="0"/>
      <w:marTop w:val="0"/>
      <w:marBottom w:val="0"/>
      <w:divBdr>
        <w:top w:val="none" w:sz="0" w:space="0" w:color="auto"/>
        <w:left w:val="none" w:sz="0" w:space="0" w:color="auto"/>
        <w:bottom w:val="none" w:sz="0" w:space="0" w:color="auto"/>
        <w:right w:val="none" w:sz="0" w:space="0" w:color="auto"/>
      </w:divBdr>
    </w:div>
    <w:div w:id="95909153">
      <w:bodyDiv w:val="1"/>
      <w:marLeft w:val="0"/>
      <w:marRight w:val="0"/>
      <w:marTop w:val="0"/>
      <w:marBottom w:val="0"/>
      <w:divBdr>
        <w:top w:val="none" w:sz="0" w:space="0" w:color="auto"/>
        <w:left w:val="none" w:sz="0" w:space="0" w:color="auto"/>
        <w:bottom w:val="none" w:sz="0" w:space="0" w:color="auto"/>
        <w:right w:val="none" w:sz="0" w:space="0" w:color="auto"/>
      </w:divBdr>
    </w:div>
    <w:div w:id="126708824">
      <w:bodyDiv w:val="1"/>
      <w:marLeft w:val="0"/>
      <w:marRight w:val="0"/>
      <w:marTop w:val="0"/>
      <w:marBottom w:val="0"/>
      <w:divBdr>
        <w:top w:val="none" w:sz="0" w:space="0" w:color="auto"/>
        <w:left w:val="none" w:sz="0" w:space="0" w:color="auto"/>
        <w:bottom w:val="none" w:sz="0" w:space="0" w:color="auto"/>
        <w:right w:val="none" w:sz="0" w:space="0" w:color="auto"/>
      </w:divBdr>
    </w:div>
    <w:div w:id="145127793">
      <w:bodyDiv w:val="1"/>
      <w:marLeft w:val="0"/>
      <w:marRight w:val="0"/>
      <w:marTop w:val="0"/>
      <w:marBottom w:val="0"/>
      <w:divBdr>
        <w:top w:val="none" w:sz="0" w:space="0" w:color="auto"/>
        <w:left w:val="none" w:sz="0" w:space="0" w:color="auto"/>
        <w:bottom w:val="none" w:sz="0" w:space="0" w:color="auto"/>
        <w:right w:val="none" w:sz="0" w:space="0" w:color="auto"/>
      </w:divBdr>
    </w:div>
    <w:div w:id="155221839">
      <w:bodyDiv w:val="1"/>
      <w:marLeft w:val="0"/>
      <w:marRight w:val="0"/>
      <w:marTop w:val="0"/>
      <w:marBottom w:val="0"/>
      <w:divBdr>
        <w:top w:val="none" w:sz="0" w:space="0" w:color="auto"/>
        <w:left w:val="none" w:sz="0" w:space="0" w:color="auto"/>
        <w:bottom w:val="none" w:sz="0" w:space="0" w:color="auto"/>
        <w:right w:val="none" w:sz="0" w:space="0" w:color="auto"/>
      </w:divBdr>
      <w:divsChild>
        <w:div w:id="802888712">
          <w:marLeft w:val="0"/>
          <w:marRight w:val="0"/>
          <w:marTop w:val="0"/>
          <w:marBottom w:val="0"/>
          <w:divBdr>
            <w:top w:val="none" w:sz="0" w:space="0" w:color="auto"/>
            <w:left w:val="none" w:sz="0" w:space="0" w:color="auto"/>
            <w:bottom w:val="none" w:sz="0" w:space="0" w:color="auto"/>
            <w:right w:val="none" w:sz="0" w:space="0" w:color="auto"/>
          </w:divBdr>
        </w:div>
        <w:div w:id="1512069390">
          <w:marLeft w:val="0"/>
          <w:marRight w:val="0"/>
          <w:marTop w:val="0"/>
          <w:marBottom w:val="0"/>
          <w:divBdr>
            <w:top w:val="none" w:sz="0" w:space="0" w:color="auto"/>
            <w:left w:val="none" w:sz="0" w:space="0" w:color="auto"/>
            <w:bottom w:val="none" w:sz="0" w:space="0" w:color="auto"/>
            <w:right w:val="none" w:sz="0" w:space="0" w:color="auto"/>
          </w:divBdr>
        </w:div>
        <w:div w:id="129981032">
          <w:marLeft w:val="0"/>
          <w:marRight w:val="0"/>
          <w:marTop w:val="0"/>
          <w:marBottom w:val="0"/>
          <w:divBdr>
            <w:top w:val="none" w:sz="0" w:space="0" w:color="auto"/>
            <w:left w:val="none" w:sz="0" w:space="0" w:color="auto"/>
            <w:bottom w:val="none" w:sz="0" w:space="0" w:color="auto"/>
            <w:right w:val="none" w:sz="0" w:space="0" w:color="auto"/>
          </w:divBdr>
        </w:div>
        <w:div w:id="622422670">
          <w:marLeft w:val="0"/>
          <w:marRight w:val="0"/>
          <w:marTop w:val="0"/>
          <w:marBottom w:val="0"/>
          <w:divBdr>
            <w:top w:val="none" w:sz="0" w:space="0" w:color="auto"/>
            <w:left w:val="none" w:sz="0" w:space="0" w:color="auto"/>
            <w:bottom w:val="none" w:sz="0" w:space="0" w:color="auto"/>
            <w:right w:val="none" w:sz="0" w:space="0" w:color="auto"/>
          </w:divBdr>
        </w:div>
        <w:div w:id="1606495665">
          <w:marLeft w:val="0"/>
          <w:marRight w:val="0"/>
          <w:marTop w:val="0"/>
          <w:marBottom w:val="0"/>
          <w:divBdr>
            <w:top w:val="none" w:sz="0" w:space="0" w:color="auto"/>
            <w:left w:val="none" w:sz="0" w:space="0" w:color="auto"/>
            <w:bottom w:val="none" w:sz="0" w:space="0" w:color="auto"/>
            <w:right w:val="none" w:sz="0" w:space="0" w:color="auto"/>
          </w:divBdr>
        </w:div>
        <w:div w:id="67919918">
          <w:marLeft w:val="0"/>
          <w:marRight w:val="0"/>
          <w:marTop w:val="0"/>
          <w:marBottom w:val="0"/>
          <w:divBdr>
            <w:top w:val="none" w:sz="0" w:space="0" w:color="auto"/>
            <w:left w:val="none" w:sz="0" w:space="0" w:color="auto"/>
            <w:bottom w:val="none" w:sz="0" w:space="0" w:color="auto"/>
            <w:right w:val="none" w:sz="0" w:space="0" w:color="auto"/>
          </w:divBdr>
        </w:div>
        <w:div w:id="1486506075">
          <w:marLeft w:val="0"/>
          <w:marRight w:val="0"/>
          <w:marTop w:val="0"/>
          <w:marBottom w:val="0"/>
          <w:divBdr>
            <w:top w:val="none" w:sz="0" w:space="0" w:color="auto"/>
            <w:left w:val="none" w:sz="0" w:space="0" w:color="auto"/>
            <w:bottom w:val="none" w:sz="0" w:space="0" w:color="auto"/>
            <w:right w:val="none" w:sz="0" w:space="0" w:color="auto"/>
          </w:divBdr>
        </w:div>
        <w:div w:id="2139180627">
          <w:marLeft w:val="0"/>
          <w:marRight w:val="0"/>
          <w:marTop w:val="0"/>
          <w:marBottom w:val="0"/>
          <w:divBdr>
            <w:top w:val="none" w:sz="0" w:space="0" w:color="auto"/>
            <w:left w:val="none" w:sz="0" w:space="0" w:color="auto"/>
            <w:bottom w:val="none" w:sz="0" w:space="0" w:color="auto"/>
            <w:right w:val="none" w:sz="0" w:space="0" w:color="auto"/>
          </w:divBdr>
        </w:div>
        <w:div w:id="1401096126">
          <w:marLeft w:val="0"/>
          <w:marRight w:val="0"/>
          <w:marTop w:val="0"/>
          <w:marBottom w:val="0"/>
          <w:divBdr>
            <w:top w:val="none" w:sz="0" w:space="0" w:color="auto"/>
            <w:left w:val="none" w:sz="0" w:space="0" w:color="auto"/>
            <w:bottom w:val="none" w:sz="0" w:space="0" w:color="auto"/>
            <w:right w:val="none" w:sz="0" w:space="0" w:color="auto"/>
          </w:divBdr>
        </w:div>
        <w:div w:id="1550455123">
          <w:marLeft w:val="0"/>
          <w:marRight w:val="0"/>
          <w:marTop w:val="0"/>
          <w:marBottom w:val="0"/>
          <w:divBdr>
            <w:top w:val="none" w:sz="0" w:space="0" w:color="auto"/>
            <w:left w:val="none" w:sz="0" w:space="0" w:color="auto"/>
            <w:bottom w:val="none" w:sz="0" w:space="0" w:color="auto"/>
            <w:right w:val="none" w:sz="0" w:space="0" w:color="auto"/>
          </w:divBdr>
        </w:div>
        <w:div w:id="395861203">
          <w:marLeft w:val="0"/>
          <w:marRight w:val="0"/>
          <w:marTop w:val="0"/>
          <w:marBottom w:val="0"/>
          <w:divBdr>
            <w:top w:val="none" w:sz="0" w:space="0" w:color="auto"/>
            <w:left w:val="none" w:sz="0" w:space="0" w:color="auto"/>
            <w:bottom w:val="none" w:sz="0" w:space="0" w:color="auto"/>
            <w:right w:val="none" w:sz="0" w:space="0" w:color="auto"/>
          </w:divBdr>
        </w:div>
        <w:div w:id="813789356">
          <w:marLeft w:val="0"/>
          <w:marRight w:val="0"/>
          <w:marTop w:val="0"/>
          <w:marBottom w:val="0"/>
          <w:divBdr>
            <w:top w:val="none" w:sz="0" w:space="0" w:color="auto"/>
            <w:left w:val="none" w:sz="0" w:space="0" w:color="auto"/>
            <w:bottom w:val="none" w:sz="0" w:space="0" w:color="auto"/>
            <w:right w:val="none" w:sz="0" w:space="0" w:color="auto"/>
          </w:divBdr>
        </w:div>
        <w:div w:id="393822534">
          <w:marLeft w:val="0"/>
          <w:marRight w:val="0"/>
          <w:marTop w:val="0"/>
          <w:marBottom w:val="0"/>
          <w:divBdr>
            <w:top w:val="none" w:sz="0" w:space="0" w:color="auto"/>
            <w:left w:val="none" w:sz="0" w:space="0" w:color="auto"/>
            <w:bottom w:val="none" w:sz="0" w:space="0" w:color="auto"/>
            <w:right w:val="none" w:sz="0" w:space="0" w:color="auto"/>
          </w:divBdr>
        </w:div>
        <w:div w:id="774130929">
          <w:marLeft w:val="0"/>
          <w:marRight w:val="0"/>
          <w:marTop w:val="0"/>
          <w:marBottom w:val="0"/>
          <w:divBdr>
            <w:top w:val="none" w:sz="0" w:space="0" w:color="auto"/>
            <w:left w:val="none" w:sz="0" w:space="0" w:color="auto"/>
            <w:bottom w:val="none" w:sz="0" w:space="0" w:color="auto"/>
            <w:right w:val="none" w:sz="0" w:space="0" w:color="auto"/>
          </w:divBdr>
        </w:div>
        <w:div w:id="1444111892">
          <w:marLeft w:val="0"/>
          <w:marRight w:val="0"/>
          <w:marTop w:val="0"/>
          <w:marBottom w:val="0"/>
          <w:divBdr>
            <w:top w:val="none" w:sz="0" w:space="0" w:color="auto"/>
            <w:left w:val="none" w:sz="0" w:space="0" w:color="auto"/>
            <w:bottom w:val="none" w:sz="0" w:space="0" w:color="auto"/>
            <w:right w:val="none" w:sz="0" w:space="0" w:color="auto"/>
          </w:divBdr>
        </w:div>
        <w:div w:id="1716813271">
          <w:marLeft w:val="0"/>
          <w:marRight w:val="0"/>
          <w:marTop w:val="0"/>
          <w:marBottom w:val="0"/>
          <w:divBdr>
            <w:top w:val="none" w:sz="0" w:space="0" w:color="auto"/>
            <w:left w:val="none" w:sz="0" w:space="0" w:color="auto"/>
            <w:bottom w:val="none" w:sz="0" w:space="0" w:color="auto"/>
            <w:right w:val="none" w:sz="0" w:space="0" w:color="auto"/>
          </w:divBdr>
        </w:div>
        <w:div w:id="1284196177">
          <w:marLeft w:val="0"/>
          <w:marRight w:val="0"/>
          <w:marTop w:val="0"/>
          <w:marBottom w:val="0"/>
          <w:divBdr>
            <w:top w:val="none" w:sz="0" w:space="0" w:color="auto"/>
            <w:left w:val="none" w:sz="0" w:space="0" w:color="auto"/>
            <w:bottom w:val="none" w:sz="0" w:space="0" w:color="auto"/>
            <w:right w:val="none" w:sz="0" w:space="0" w:color="auto"/>
          </w:divBdr>
        </w:div>
        <w:div w:id="894004563">
          <w:marLeft w:val="0"/>
          <w:marRight w:val="0"/>
          <w:marTop w:val="0"/>
          <w:marBottom w:val="0"/>
          <w:divBdr>
            <w:top w:val="none" w:sz="0" w:space="0" w:color="auto"/>
            <w:left w:val="none" w:sz="0" w:space="0" w:color="auto"/>
            <w:bottom w:val="none" w:sz="0" w:space="0" w:color="auto"/>
            <w:right w:val="none" w:sz="0" w:space="0" w:color="auto"/>
          </w:divBdr>
        </w:div>
        <w:div w:id="1119493044">
          <w:marLeft w:val="0"/>
          <w:marRight w:val="0"/>
          <w:marTop w:val="0"/>
          <w:marBottom w:val="0"/>
          <w:divBdr>
            <w:top w:val="none" w:sz="0" w:space="0" w:color="auto"/>
            <w:left w:val="none" w:sz="0" w:space="0" w:color="auto"/>
            <w:bottom w:val="none" w:sz="0" w:space="0" w:color="auto"/>
            <w:right w:val="none" w:sz="0" w:space="0" w:color="auto"/>
          </w:divBdr>
        </w:div>
        <w:div w:id="1651591038">
          <w:marLeft w:val="0"/>
          <w:marRight w:val="0"/>
          <w:marTop w:val="0"/>
          <w:marBottom w:val="0"/>
          <w:divBdr>
            <w:top w:val="none" w:sz="0" w:space="0" w:color="auto"/>
            <w:left w:val="none" w:sz="0" w:space="0" w:color="auto"/>
            <w:bottom w:val="none" w:sz="0" w:space="0" w:color="auto"/>
            <w:right w:val="none" w:sz="0" w:space="0" w:color="auto"/>
          </w:divBdr>
        </w:div>
        <w:div w:id="1327704617">
          <w:marLeft w:val="0"/>
          <w:marRight w:val="0"/>
          <w:marTop w:val="0"/>
          <w:marBottom w:val="0"/>
          <w:divBdr>
            <w:top w:val="none" w:sz="0" w:space="0" w:color="auto"/>
            <w:left w:val="none" w:sz="0" w:space="0" w:color="auto"/>
            <w:bottom w:val="none" w:sz="0" w:space="0" w:color="auto"/>
            <w:right w:val="none" w:sz="0" w:space="0" w:color="auto"/>
          </w:divBdr>
        </w:div>
        <w:div w:id="1949853591">
          <w:marLeft w:val="0"/>
          <w:marRight w:val="0"/>
          <w:marTop w:val="0"/>
          <w:marBottom w:val="0"/>
          <w:divBdr>
            <w:top w:val="none" w:sz="0" w:space="0" w:color="auto"/>
            <w:left w:val="none" w:sz="0" w:space="0" w:color="auto"/>
            <w:bottom w:val="none" w:sz="0" w:space="0" w:color="auto"/>
            <w:right w:val="none" w:sz="0" w:space="0" w:color="auto"/>
          </w:divBdr>
          <w:divsChild>
            <w:div w:id="78063675">
              <w:marLeft w:val="0"/>
              <w:marRight w:val="0"/>
              <w:marTop w:val="0"/>
              <w:marBottom w:val="0"/>
              <w:divBdr>
                <w:top w:val="none" w:sz="0" w:space="0" w:color="auto"/>
                <w:left w:val="none" w:sz="0" w:space="0" w:color="auto"/>
                <w:bottom w:val="none" w:sz="0" w:space="0" w:color="auto"/>
                <w:right w:val="none" w:sz="0" w:space="0" w:color="auto"/>
              </w:divBdr>
            </w:div>
          </w:divsChild>
        </w:div>
        <w:div w:id="1000936018">
          <w:marLeft w:val="0"/>
          <w:marRight w:val="0"/>
          <w:marTop w:val="0"/>
          <w:marBottom w:val="0"/>
          <w:divBdr>
            <w:top w:val="none" w:sz="0" w:space="0" w:color="auto"/>
            <w:left w:val="none" w:sz="0" w:space="0" w:color="auto"/>
            <w:bottom w:val="none" w:sz="0" w:space="0" w:color="auto"/>
            <w:right w:val="none" w:sz="0" w:space="0" w:color="auto"/>
          </w:divBdr>
        </w:div>
        <w:div w:id="618142497">
          <w:marLeft w:val="0"/>
          <w:marRight w:val="0"/>
          <w:marTop w:val="0"/>
          <w:marBottom w:val="0"/>
          <w:divBdr>
            <w:top w:val="none" w:sz="0" w:space="0" w:color="auto"/>
            <w:left w:val="none" w:sz="0" w:space="0" w:color="auto"/>
            <w:bottom w:val="none" w:sz="0" w:space="0" w:color="auto"/>
            <w:right w:val="none" w:sz="0" w:space="0" w:color="auto"/>
          </w:divBdr>
        </w:div>
        <w:div w:id="1345202391">
          <w:marLeft w:val="0"/>
          <w:marRight w:val="0"/>
          <w:marTop w:val="0"/>
          <w:marBottom w:val="0"/>
          <w:divBdr>
            <w:top w:val="none" w:sz="0" w:space="0" w:color="auto"/>
            <w:left w:val="none" w:sz="0" w:space="0" w:color="auto"/>
            <w:bottom w:val="none" w:sz="0" w:space="0" w:color="auto"/>
            <w:right w:val="none" w:sz="0" w:space="0" w:color="auto"/>
          </w:divBdr>
        </w:div>
        <w:div w:id="1550220000">
          <w:marLeft w:val="0"/>
          <w:marRight w:val="0"/>
          <w:marTop w:val="0"/>
          <w:marBottom w:val="0"/>
          <w:divBdr>
            <w:top w:val="none" w:sz="0" w:space="0" w:color="auto"/>
            <w:left w:val="none" w:sz="0" w:space="0" w:color="auto"/>
            <w:bottom w:val="none" w:sz="0" w:space="0" w:color="auto"/>
            <w:right w:val="none" w:sz="0" w:space="0" w:color="auto"/>
          </w:divBdr>
        </w:div>
        <w:div w:id="189342216">
          <w:marLeft w:val="0"/>
          <w:marRight w:val="0"/>
          <w:marTop w:val="0"/>
          <w:marBottom w:val="0"/>
          <w:divBdr>
            <w:top w:val="none" w:sz="0" w:space="0" w:color="auto"/>
            <w:left w:val="none" w:sz="0" w:space="0" w:color="auto"/>
            <w:bottom w:val="none" w:sz="0" w:space="0" w:color="auto"/>
            <w:right w:val="none" w:sz="0" w:space="0" w:color="auto"/>
          </w:divBdr>
        </w:div>
        <w:div w:id="595671178">
          <w:marLeft w:val="0"/>
          <w:marRight w:val="0"/>
          <w:marTop w:val="0"/>
          <w:marBottom w:val="0"/>
          <w:divBdr>
            <w:top w:val="none" w:sz="0" w:space="0" w:color="auto"/>
            <w:left w:val="none" w:sz="0" w:space="0" w:color="auto"/>
            <w:bottom w:val="none" w:sz="0" w:space="0" w:color="auto"/>
            <w:right w:val="none" w:sz="0" w:space="0" w:color="auto"/>
          </w:divBdr>
        </w:div>
        <w:div w:id="207835429">
          <w:marLeft w:val="0"/>
          <w:marRight w:val="0"/>
          <w:marTop w:val="0"/>
          <w:marBottom w:val="0"/>
          <w:divBdr>
            <w:top w:val="none" w:sz="0" w:space="0" w:color="auto"/>
            <w:left w:val="none" w:sz="0" w:space="0" w:color="auto"/>
            <w:bottom w:val="none" w:sz="0" w:space="0" w:color="auto"/>
            <w:right w:val="none" w:sz="0" w:space="0" w:color="auto"/>
          </w:divBdr>
        </w:div>
        <w:div w:id="858356745">
          <w:marLeft w:val="0"/>
          <w:marRight w:val="0"/>
          <w:marTop w:val="0"/>
          <w:marBottom w:val="0"/>
          <w:divBdr>
            <w:top w:val="none" w:sz="0" w:space="0" w:color="auto"/>
            <w:left w:val="none" w:sz="0" w:space="0" w:color="auto"/>
            <w:bottom w:val="none" w:sz="0" w:space="0" w:color="auto"/>
            <w:right w:val="none" w:sz="0" w:space="0" w:color="auto"/>
          </w:divBdr>
        </w:div>
      </w:divsChild>
    </w:div>
    <w:div w:id="170410268">
      <w:bodyDiv w:val="1"/>
      <w:marLeft w:val="0"/>
      <w:marRight w:val="0"/>
      <w:marTop w:val="0"/>
      <w:marBottom w:val="0"/>
      <w:divBdr>
        <w:top w:val="none" w:sz="0" w:space="0" w:color="auto"/>
        <w:left w:val="none" w:sz="0" w:space="0" w:color="auto"/>
        <w:bottom w:val="none" w:sz="0" w:space="0" w:color="auto"/>
        <w:right w:val="none" w:sz="0" w:space="0" w:color="auto"/>
      </w:divBdr>
    </w:div>
    <w:div w:id="182135335">
      <w:bodyDiv w:val="1"/>
      <w:marLeft w:val="0"/>
      <w:marRight w:val="0"/>
      <w:marTop w:val="0"/>
      <w:marBottom w:val="0"/>
      <w:divBdr>
        <w:top w:val="none" w:sz="0" w:space="0" w:color="auto"/>
        <w:left w:val="none" w:sz="0" w:space="0" w:color="auto"/>
        <w:bottom w:val="none" w:sz="0" w:space="0" w:color="auto"/>
        <w:right w:val="none" w:sz="0" w:space="0" w:color="auto"/>
      </w:divBdr>
    </w:div>
    <w:div w:id="248923973">
      <w:bodyDiv w:val="1"/>
      <w:marLeft w:val="0"/>
      <w:marRight w:val="0"/>
      <w:marTop w:val="0"/>
      <w:marBottom w:val="0"/>
      <w:divBdr>
        <w:top w:val="none" w:sz="0" w:space="0" w:color="auto"/>
        <w:left w:val="none" w:sz="0" w:space="0" w:color="auto"/>
        <w:bottom w:val="none" w:sz="0" w:space="0" w:color="auto"/>
        <w:right w:val="none" w:sz="0" w:space="0" w:color="auto"/>
      </w:divBdr>
    </w:div>
    <w:div w:id="269046006">
      <w:bodyDiv w:val="1"/>
      <w:marLeft w:val="0"/>
      <w:marRight w:val="0"/>
      <w:marTop w:val="0"/>
      <w:marBottom w:val="0"/>
      <w:divBdr>
        <w:top w:val="none" w:sz="0" w:space="0" w:color="auto"/>
        <w:left w:val="none" w:sz="0" w:space="0" w:color="auto"/>
        <w:bottom w:val="none" w:sz="0" w:space="0" w:color="auto"/>
        <w:right w:val="none" w:sz="0" w:space="0" w:color="auto"/>
      </w:divBdr>
    </w:div>
    <w:div w:id="286857884">
      <w:bodyDiv w:val="1"/>
      <w:marLeft w:val="0"/>
      <w:marRight w:val="0"/>
      <w:marTop w:val="0"/>
      <w:marBottom w:val="0"/>
      <w:divBdr>
        <w:top w:val="none" w:sz="0" w:space="0" w:color="auto"/>
        <w:left w:val="none" w:sz="0" w:space="0" w:color="auto"/>
        <w:bottom w:val="none" w:sz="0" w:space="0" w:color="auto"/>
        <w:right w:val="none" w:sz="0" w:space="0" w:color="auto"/>
      </w:divBdr>
    </w:div>
    <w:div w:id="289945565">
      <w:bodyDiv w:val="1"/>
      <w:marLeft w:val="0"/>
      <w:marRight w:val="0"/>
      <w:marTop w:val="0"/>
      <w:marBottom w:val="0"/>
      <w:divBdr>
        <w:top w:val="none" w:sz="0" w:space="0" w:color="auto"/>
        <w:left w:val="none" w:sz="0" w:space="0" w:color="auto"/>
        <w:bottom w:val="none" w:sz="0" w:space="0" w:color="auto"/>
        <w:right w:val="none" w:sz="0" w:space="0" w:color="auto"/>
      </w:divBdr>
    </w:div>
    <w:div w:id="318702623">
      <w:bodyDiv w:val="1"/>
      <w:marLeft w:val="0"/>
      <w:marRight w:val="0"/>
      <w:marTop w:val="0"/>
      <w:marBottom w:val="0"/>
      <w:divBdr>
        <w:top w:val="none" w:sz="0" w:space="0" w:color="auto"/>
        <w:left w:val="none" w:sz="0" w:space="0" w:color="auto"/>
        <w:bottom w:val="none" w:sz="0" w:space="0" w:color="auto"/>
        <w:right w:val="none" w:sz="0" w:space="0" w:color="auto"/>
      </w:divBdr>
    </w:div>
    <w:div w:id="438188102">
      <w:bodyDiv w:val="1"/>
      <w:marLeft w:val="0"/>
      <w:marRight w:val="0"/>
      <w:marTop w:val="0"/>
      <w:marBottom w:val="0"/>
      <w:divBdr>
        <w:top w:val="none" w:sz="0" w:space="0" w:color="auto"/>
        <w:left w:val="none" w:sz="0" w:space="0" w:color="auto"/>
        <w:bottom w:val="none" w:sz="0" w:space="0" w:color="auto"/>
        <w:right w:val="none" w:sz="0" w:space="0" w:color="auto"/>
      </w:divBdr>
    </w:div>
    <w:div w:id="613636027">
      <w:bodyDiv w:val="1"/>
      <w:marLeft w:val="0"/>
      <w:marRight w:val="0"/>
      <w:marTop w:val="0"/>
      <w:marBottom w:val="0"/>
      <w:divBdr>
        <w:top w:val="none" w:sz="0" w:space="0" w:color="auto"/>
        <w:left w:val="none" w:sz="0" w:space="0" w:color="auto"/>
        <w:bottom w:val="none" w:sz="0" w:space="0" w:color="auto"/>
        <w:right w:val="none" w:sz="0" w:space="0" w:color="auto"/>
      </w:divBdr>
    </w:div>
    <w:div w:id="634599712">
      <w:bodyDiv w:val="1"/>
      <w:marLeft w:val="0"/>
      <w:marRight w:val="0"/>
      <w:marTop w:val="0"/>
      <w:marBottom w:val="0"/>
      <w:divBdr>
        <w:top w:val="none" w:sz="0" w:space="0" w:color="auto"/>
        <w:left w:val="none" w:sz="0" w:space="0" w:color="auto"/>
        <w:bottom w:val="none" w:sz="0" w:space="0" w:color="auto"/>
        <w:right w:val="none" w:sz="0" w:space="0" w:color="auto"/>
      </w:divBdr>
    </w:div>
    <w:div w:id="673845834">
      <w:bodyDiv w:val="1"/>
      <w:marLeft w:val="0"/>
      <w:marRight w:val="0"/>
      <w:marTop w:val="0"/>
      <w:marBottom w:val="0"/>
      <w:divBdr>
        <w:top w:val="none" w:sz="0" w:space="0" w:color="auto"/>
        <w:left w:val="none" w:sz="0" w:space="0" w:color="auto"/>
        <w:bottom w:val="none" w:sz="0" w:space="0" w:color="auto"/>
        <w:right w:val="none" w:sz="0" w:space="0" w:color="auto"/>
      </w:divBdr>
    </w:div>
    <w:div w:id="847209356">
      <w:bodyDiv w:val="1"/>
      <w:marLeft w:val="0"/>
      <w:marRight w:val="0"/>
      <w:marTop w:val="0"/>
      <w:marBottom w:val="0"/>
      <w:divBdr>
        <w:top w:val="none" w:sz="0" w:space="0" w:color="auto"/>
        <w:left w:val="none" w:sz="0" w:space="0" w:color="auto"/>
        <w:bottom w:val="none" w:sz="0" w:space="0" w:color="auto"/>
        <w:right w:val="none" w:sz="0" w:space="0" w:color="auto"/>
      </w:divBdr>
    </w:div>
    <w:div w:id="871577468">
      <w:bodyDiv w:val="1"/>
      <w:marLeft w:val="0"/>
      <w:marRight w:val="0"/>
      <w:marTop w:val="0"/>
      <w:marBottom w:val="0"/>
      <w:divBdr>
        <w:top w:val="none" w:sz="0" w:space="0" w:color="auto"/>
        <w:left w:val="none" w:sz="0" w:space="0" w:color="auto"/>
        <w:bottom w:val="none" w:sz="0" w:space="0" w:color="auto"/>
        <w:right w:val="none" w:sz="0" w:space="0" w:color="auto"/>
      </w:divBdr>
    </w:div>
    <w:div w:id="980353534">
      <w:bodyDiv w:val="1"/>
      <w:marLeft w:val="0"/>
      <w:marRight w:val="0"/>
      <w:marTop w:val="0"/>
      <w:marBottom w:val="0"/>
      <w:divBdr>
        <w:top w:val="none" w:sz="0" w:space="0" w:color="auto"/>
        <w:left w:val="none" w:sz="0" w:space="0" w:color="auto"/>
        <w:bottom w:val="none" w:sz="0" w:space="0" w:color="auto"/>
        <w:right w:val="none" w:sz="0" w:space="0" w:color="auto"/>
      </w:divBdr>
    </w:div>
    <w:div w:id="983777263">
      <w:bodyDiv w:val="1"/>
      <w:marLeft w:val="0"/>
      <w:marRight w:val="0"/>
      <w:marTop w:val="0"/>
      <w:marBottom w:val="0"/>
      <w:divBdr>
        <w:top w:val="none" w:sz="0" w:space="0" w:color="auto"/>
        <w:left w:val="none" w:sz="0" w:space="0" w:color="auto"/>
        <w:bottom w:val="none" w:sz="0" w:space="0" w:color="auto"/>
        <w:right w:val="none" w:sz="0" w:space="0" w:color="auto"/>
      </w:divBdr>
    </w:div>
    <w:div w:id="1024747356">
      <w:bodyDiv w:val="1"/>
      <w:marLeft w:val="0"/>
      <w:marRight w:val="0"/>
      <w:marTop w:val="0"/>
      <w:marBottom w:val="0"/>
      <w:divBdr>
        <w:top w:val="none" w:sz="0" w:space="0" w:color="auto"/>
        <w:left w:val="none" w:sz="0" w:space="0" w:color="auto"/>
        <w:bottom w:val="none" w:sz="0" w:space="0" w:color="auto"/>
        <w:right w:val="none" w:sz="0" w:space="0" w:color="auto"/>
      </w:divBdr>
    </w:div>
    <w:div w:id="1027026884">
      <w:bodyDiv w:val="1"/>
      <w:marLeft w:val="0"/>
      <w:marRight w:val="0"/>
      <w:marTop w:val="0"/>
      <w:marBottom w:val="0"/>
      <w:divBdr>
        <w:top w:val="none" w:sz="0" w:space="0" w:color="auto"/>
        <w:left w:val="none" w:sz="0" w:space="0" w:color="auto"/>
        <w:bottom w:val="none" w:sz="0" w:space="0" w:color="auto"/>
        <w:right w:val="none" w:sz="0" w:space="0" w:color="auto"/>
      </w:divBdr>
    </w:div>
    <w:div w:id="1208297778">
      <w:bodyDiv w:val="1"/>
      <w:marLeft w:val="0"/>
      <w:marRight w:val="0"/>
      <w:marTop w:val="0"/>
      <w:marBottom w:val="0"/>
      <w:divBdr>
        <w:top w:val="none" w:sz="0" w:space="0" w:color="auto"/>
        <w:left w:val="none" w:sz="0" w:space="0" w:color="auto"/>
        <w:bottom w:val="none" w:sz="0" w:space="0" w:color="auto"/>
        <w:right w:val="none" w:sz="0" w:space="0" w:color="auto"/>
      </w:divBdr>
    </w:div>
    <w:div w:id="1282221695">
      <w:bodyDiv w:val="1"/>
      <w:marLeft w:val="0"/>
      <w:marRight w:val="0"/>
      <w:marTop w:val="0"/>
      <w:marBottom w:val="0"/>
      <w:divBdr>
        <w:top w:val="none" w:sz="0" w:space="0" w:color="auto"/>
        <w:left w:val="none" w:sz="0" w:space="0" w:color="auto"/>
        <w:bottom w:val="none" w:sz="0" w:space="0" w:color="auto"/>
        <w:right w:val="none" w:sz="0" w:space="0" w:color="auto"/>
      </w:divBdr>
      <w:divsChild>
        <w:div w:id="992175663">
          <w:marLeft w:val="0"/>
          <w:marRight w:val="0"/>
          <w:marTop w:val="0"/>
          <w:marBottom w:val="0"/>
          <w:divBdr>
            <w:top w:val="none" w:sz="0" w:space="0" w:color="auto"/>
            <w:left w:val="none" w:sz="0" w:space="0" w:color="auto"/>
            <w:bottom w:val="none" w:sz="0" w:space="0" w:color="auto"/>
            <w:right w:val="none" w:sz="0" w:space="0" w:color="auto"/>
          </w:divBdr>
          <w:divsChild>
            <w:div w:id="1912805973">
              <w:marLeft w:val="0"/>
              <w:marRight w:val="0"/>
              <w:marTop w:val="0"/>
              <w:marBottom w:val="0"/>
              <w:divBdr>
                <w:top w:val="none" w:sz="0" w:space="0" w:color="auto"/>
                <w:left w:val="none" w:sz="0" w:space="0" w:color="auto"/>
                <w:bottom w:val="none" w:sz="0" w:space="0" w:color="auto"/>
                <w:right w:val="none" w:sz="0" w:space="0" w:color="auto"/>
              </w:divBdr>
              <w:divsChild>
                <w:div w:id="1782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152">
      <w:bodyDiv w:val="1"/>
      <w:marLeft w:val="0"/>
      <w:marRight w:val="0"/>
      <w:marTop w:val="0"/>
      <w:marBottom w:val="0"/>
      <w:divBdr>
        <w:top w:val="none" w:sz="0" w:space="0" w:color="auto"/>
        <w:left w:val="none" w:sz="0" w:space="0" w:color="auto"/>
        <w:bottom w:val="none" w:sz="0" w:space="0" w:color="auto"/>
        <w:right w:val="none" w:sz="0" w:space="0" w:color="auto"/>
      </w:divBdr>
    </w:div>
    <w:div w:id="1327980792">
      <w:bodyDiv w:val="1"/>
      <w:marLeft w:val="0"/>
      <w:marRight w:val="0"/>
      <w:marTop w:val="0"/>
      <w:marBottom w:val="0"/>
      <w:divBdr>
        <w:top w:val="none" w:sz="0" w:space="0" w:color="auto"/>
        <w:left w:val="none" w:sz="0" w:space="0" w:color="auto"/>
        <w:bottom w:val="none" w:sz="0" w:space="0" w:color="auto"/>
        <w:right w:val="none" w:sz="0" w:space="0" w:color="auto"/>
      </w:divBdr>
    </w:div>
    <w:div w:id="1356037697">
      <w:bodyDiv w:val="1"/>
      <w:marLeft w:val="0"/>
      <w:marRight w:val="0"/>
      <w:marTop w:val="0"/>
      <w:marBottom w:val="0"/>
      <w:divBdr>
        <w:top w:val="none" w:sz="0" w:space="0" w:color="auto"/>
        <w:left w:val="none" w:sz="0" w:space="0" w:color="auto"/>
        <w:bottom w:val="none" w:sz="0" w:space="0" w:color="auto"/>
        <w:right w:val="none" w:sz="0" w:space="0" w:color="auto"/>
      </w:divBdr>
    </w:div>
    <w:div w:id="1437288946">
      <w:bodyDiv w:val="1"/>
      <w:marLeft w:val="0"/>
      <w:marRight w:val="0"/>
      <w:marTop w:val="0"/>
      <w:marBottom w:val="0"/>
      <w:divBdr>
        <w:top w:val="none" w:sz="0" w:space="0" w:color="auto"/>
        <w:left w:val="none" w:sz="0" w:space="0" w:color="auto"/>
        <w:bottom w:val="none" w:sz="0" w:space="0" w:color="auto"/>
        <w:right w:val="none" w:sz="0" w:space="0" w:color="auto"/>
      </w:divBdr>
    </w:div>
    <w:div w:id="1545216132">
      <w:bodyDiv w:val="1"/>
      <w:marLeft w:val="0"/>
      <w:marRight w:val="0"/>
      <w:marTop w:val="0"/>
      <w:marBottom w:val="0"/>
      <w:divBdr>
        <w:top w:val="none" w:sz="0" w:space="0" w:color="auto"/>
        <w:left w:val="none" w:sz="0" w:space="0" w:color="auto"/>
        <w:bottom w:val="none" w:sz="0" w:space="0" w:color="auto"/>
        <w:right w:val="none" w:sz="0" w:space="0" w:color="auto"/>
      </w:divBdr>
    </w:div>
    <w:div w:id="1610771780">
      <w:bodyDiv w:val="1"/>
      <w:marLeft w:val="0"/>
      <w:marRight w:val="0"/>
      <w:marTop w:val="0"/>
      <w:marBottom w:val="0"/>
      <w:divBdr>
        <w:top w:val="none" w:sz="0" w:space="0" w:color="auto"/>
        <w:left w:val="none" w:sz="0" w:space="0" w:color="auto"/>
        <w:bottom w:val="none" w:sz="0" w:space="0" w:color="auto"/>
        <w:right w:val="none" w:sz="0" w:space="0" w:color="auto"/>
      </w:divBdr>
    </w:div>
    <w:div w:id="1626426226">
      <w:bodyDiv w:val="1"/>
      <w:marLeft w:val="0"/>
      <w:marRight w:val="0"/>
      <w:marTop w:val="0"/>
      <w:marBottom w:val="0"/>
      <w:divBdr>
        <w:top w:val="none" w:sz="0" w:space="0" w:color="auto"/>
        <w:left w:val="none" w:sz="0" w:space="0" w:color="auto"/>
        <w:bottom w:val="none" w:sz="0" w:space="0" w:color="auto"/>
        <w:right w:val="none" w:sz="0" w:space="0" w:color="auto"/>
      </w:divBdr>
    </w:div>
    <w:div w:id="1662464282">
      <w:bodyDiv w:val="1"/>
      <w:marLeft w:val="0"/>
      <w:marRight w:val="0"/>
      <w:marTop w:val="0"/>
      <w:marBottom w:val="0"/>
      <w:divBdr>
        <w:top w:val="none" w:sz="0" w:space="0" w:color="auto"/>
        <w:left w:val="none" w:sz="0" w:space="0" w:color="auto"/>
        <w:bottom w:val="none" w:sz="0" w:space="0" w:color="auto"/>
        <w:right w:val="none" w:sz="0" w:space="0" w:color="auto"/>
      </w:divBdr>
    </w:div>
    <w:div w:id="1726296799">
      <w:bodyDiv w:val="1"/>
      <w:marLeft w:val="0"/>
      <w:marRight w:val="0"/>
      <w:marTop w:val="0"/>
      <w:marBottom w:val="0"/>
      <w:divBdr>
        <w:top w:val="none" w:sz="0" w:space="0" w:color="auto"/>
        <w:left w:val="none" w:sz="0" w:space="0" w:color="auto"/>
        <w:bottom w:val="none" w:sz="0" w:space="0" w:color="auto"/>
        <w:right w:val="none" w:sz="0" w:space="0" w:color="auto"/>
      </w:divBdr>
    </w:div>
    <w:div w:id="1735197635">
      <w:bodyDiv w:val="1"/>
      <w:marLeft w:val="0"/>
      <w:marRight w:val="0"/>
      <w:marTop w:val="0"/>
      <w:marBottom w:val="0"/>
      <w:divBdr>
        <w:top w:val="none" w:sz="0" w:space="0" w:color="auto"/>
        <w:left w:val="none" w:sz="0" w:space="0" w:color="auto"/>
        <w:bottom w:val="none" w:sz="0" w:space="0" w:color="auto"/>
        <w:right w:val="none" w:sz="0" w:space="0" w:color="auto"/>
      </w:divBdr>
    </w:div>
    <w:div w:id="1743942588">
      <w:bodyDiv w:val="1"/>
      <w:marLeft w:val="0"/>
      <w:marRight w:val="0"/>
      <w:marTop w:val="0"/>
      <w:marBottom w:val="0"/>
      <w:divBdr>
        <w:top w:val="none" w:sz="0" w:space="0" w:color="auto"/>
        <w:left w:val="none" w:sz="0" w:space="0" w:color="auto"/>
        <w:bottom w:val="none" w:sz="0" w:space="0" w:color="auto"/>
        <w:right w:val="none" w:sz="0" w:space="0" w:color="auto"/>
      </w:divBdr>
    </w:div>
    <w:div w:id="1801024579">
      <w:bodyDiv w:val="1"/>
      <w:marLeft w:val="0"/>
      <w:marRight w:val="0"/>
      <w:marTop w:val="0"/>
      <w:marBottom w:val="0"/>
      <w:divBdr>
        <w:top w:val="none" w:sz="0" w:space="0" w:color="auto"/>
        <w:left w:val="none" w:sz="0" w:space="0" w:color="auto"/>
        <w:bottom w:val="none" w:sz="0" w:space="0" w:color="auto"/>
        <w:right w:val="none" w:sz="0" w:space="0" w:color="auto"/>
      </w:divBdr>
    </w:div>
    <w:div w:id="1813256518">
      <w:bodyDiv w:val="1"/>
      <w:marLeft w:val="0"/>
      <w:marRight w:val="0"/>
      <w:marTop w:val="0"/>
      <w:marBottom w:val="0"/>
      <w:divBdr>
        <w:top w:val="none" w:sz="0" w:space="0" w:color="auto"/>
        <w:left w:val="none" w:sz="0" w:space="0" w:color="auto"/>
        <w:bottom w:val="none" w:sz="0" w:space="0" w:color="auto"/>
        <w:right w:val="none" w:sz="0" w:space="0" w:color="auto"/>
      </w:divBdr>
    </w:div>
    <w:div w:id="1813981926">
      <w:bodyDiv w:val="1"/>
      <w:marLeft w:val="0"/>
      <w:marRight w:val="0"/>
      <w:marTop w:val="0"/>
      <w:marBottom w:val="0"/>
      <w:divBdr>
        <w:top w:val="none" w:sz="0" w:space="0" w:color="auto"/>
        <w:left w:val="none" w:sz="0" w:space="0" w:color="auto"/>
        <w:bottom w:val="none" w:sz="0" w:space="0" w:color="auto"/>
        <w:right w:val="none" w:sz="0" w:space="0" w:color="auto"/>
      </w:divBdr>
    </w:div>
    <w:div w:id="1864827979">
      <w:bodyDiv w:val="1"/>
      <w:marLeft w:val="0"/>
      <w:marRight w:val="0"/>
      <w:marTop w:val="0"/>
      <w:marBottom w:val="0"/>
      <w:divBdr>
        <w:top w:val="none" w:sz="0" w:space="0" w:color="auto"/>
        <w:left w:val="none" w:sz="0" w:space="0" w:color="auto"/>
        <w:bottom w:val="none" w:sz="0" w:space="0" w:color="auto"/>
        <w:right w:val="none" w:sz="0" w:space="0" w:color="auto"/>
      </w:divBdr>
    </w:div>
    <w:div w:id="1898972760">
      <w:bodyDiv w:val="1"/>
      <w:marLeft w:val="0"/>
      <w:marRight w:val="0"/>
      <w:marTop w:val="0"/>
      <w:marBottom w:val="0"/>
      <w:divBdr>
        <w:top w:val="none" w:sz="0" w:space="0" w:color="auto"/>
        <w:left w:val="none" w:sz="0" w:space="0" w:color="auto"/>
        <w:bottom w:val="none" w:sz="0" w:space="0" w:color="auto"/>
        <w:right w:val="none" w:sz="0" w:space="0" w:color="auto"/>
      </w:divBdr>
    </w:div>
    <w:div w:id="2005819217">
      <w:bodyDiv w:val="1"/>
      <w:marLeft w:val="0"/>
      <w:marRight w:val="0"/>
      <w:marTop w:val="0"/>
      <w:marBottom w:val="0"/>
      <w:divBdr>
        <w:top w:val="none" w:sz="0" w:space="0" w:color="auto"/>
        <w:left w:val="none" w:sz="0" w:space="0" w:color="auto"/>
        <w:bottom w:val="none" w:sz="0" w:space="0" w:color="auto"/>
        <w:right w:val="none" w:sz="0" w:space="0" w:color="auto"/>
      </w:divBdr>
    </w:div>
    <w:div w:id="2020113781">
      <w:bodyDiv w:val="1"/>
      <w:marLeft w:val="0"/>
      <w:marRight w:val="0"/>
      <w:marTop w:val="0"/>
      <w:marBottom w:val="0"/>
      <w:divBdr>
        <w:top w:val="none" w:sz="0" w:space="0" w:color="auto"/>
        <w:left w:val="none" w:sz="0" w:space="0" w:color="auto"/>
        <w:bottom w:val="none" w:sz="0" w:space="0" w:color="auto"/>
        <w:right w:val="none" w:sz="0" w:space="0" w:color="auto"/>
      </w:divBdr>
    </w:div>
    <w:div w:id="205842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house.gov/billsthisweek/20200309/BILLS-116hr6201-SU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ocs.house.gov/billsthisweek/20200309/BILLS-116hr6201-SU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propriations.senate.gov/imo/media/doc/Coronavirus%20Supplemental%20Appropriations%20Summary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opriations.house.gov/news/press-releases/house-passes-coronavirus-supplementa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sl.org/Portals/1/Documents/statefed/COVID_Relief_Fund.pdf" TargetMode="External"/><Relationship Id="rId23" Type="http://schemas.openxmlformats.org/officeDocument/2006/relationships/fontTable" Target="fontTable.xml"/><Relationship Id="rId10" Type="http://schemas.openxmlformats.org/officeDocument/2006/relationships/hyperlink" Target="https://www.congress.gov/bill/116th-congress/house-bill/607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propriations.senate.gov/download/cares-act_-division-b"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8" ma:contentTypeDescription="Create a new document." ma:contentTypeScope="" ma:versionID="a3a8e514151cae5200d770c55637de29">
  <xsd:schema xmlns:xsd="http://www.w3.org/2001/XMLSchema" xmlns:xs="http://www.w3.org/2001/XMLSchema" xmlns:p="http://schemas.microsoft.com/office/2006/metadata/properties" xmlns:ns3="83a4a261-6ad7-4c5f-b059-de047e0ece7b" targetNamespace="http://schemas.microsoft.com/office/2006/metadata/properties" ma:root="true" ma:fieldsID="89eacc32667a6940dac4a47242d6915e"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3530A-FC88-4615-A937-5010D8C4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63ABD-F2DA-4E31-BCDD-655885F3C335}">
  <ds:schemaRefs>
    <ds:schemaRef ds:uri="http://schemas.microsoft.com/sharepoint/v3/contenttype/forms"/>
  </ds:schemaRefs>
</ds:datastoreItem>
</file>

<file path=customXml/itemProps3.xml><?xml version="1.0" encoding="utf-8"?>
<ds:datastoreItem xmlns:ds="http://schemas.openxmlformats.org/officeDocument/2006/customXml" ds:itemID="{A37EE5F1-BA14-43F8-BB86-05EBAF10A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lambert</cp:lastModifiedBy>
  <cp:revision>2</cp:revision>
  <dcterms:created xsi:type="dcterms:W3CDTF">2020-03-31T20:36:00Z</dcterms:created>
  <dcterms:modified xsi:type="dcterms:W3CDTF">2020-03-31T20:36:00Z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