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pPr w:leftFromText="180" w:rightFromText="180" w:horzAnchor="margin" w:tblpY="-86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36"/>
        <w:gridCol w:w="4849"/>
        <w:gridCol w:w="2065"/>
      </w:tblGrid>
      <w:tr w:rsidR="009612BE" w14:paraId="462BB438" w14:textId="77777777" w:rsidTr="009847B1">
        <w:tc>
          <w:tcPr>
            <w:tcW w:w="2436" w:type="dxa"/>
          </w:tcPr>
          <w:p w14:paraId="64DD2330" w14:textId="77777777" w:rsidR="009612BE" w:rsidRDefault="009612BE" w:rsidP="009847B1">
            <w:pPr>
              <w:pStyle w:val="Header"/>
            </w:pPr>
            <w:r>
              <w:rPr>
                <w:noProof/>
              </w:rPr>
              <w:drawing>
                <wp:anchor distT="0" distB="0" distL="114300" distR="114300" simplePos="0" relativeHeight="251660288" behindDoc="0" locked="0" layoutInCell="1" allowOverlap="1" wp14:anchorId="15AD967F" wp14:editId="3F734AEC">
                  <wp:simplePos x="0" y="0"/>
                  <wp:positionH relativeFrom="margin">
                    <wp:posOffset>-28575</wp:posOffset>
                  </wp:positionH>
                  <wp:positionV relativeFrom="margin">
                    <wp:posOffset>0</wp:posOffset>
                  </wp:positionV>
                  <wp:extent cx="1400364" cy="704850"/>
                  <wp:effectExtent l="0" t="0" r="9525" b="0"/>
                  <wp:wrapSquare wrapText="bothSides"/>
                  <wp:docPr id="1" name="Picture 1" descr="A close up of a sign&#10;&#10;Description generated with very high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2018 New Space Coast Logo Transparent.png"/>
                          <pic:cNvPicPr/>
                        </pic:nvPicPr>
                        <pic:blipFill>
                          <a:blip r:embed="rId5" cstate="print">
                            <a:extLst>
                              <a:ext uri="{28A0092B-C50C-407E-A947-70E740481C1C}">
                                <a14:useLocalDpi xmlns:a14="http://schemas.microsoft.com/office/drawing/2010/main" val="0"/>
                              </a:ext>
                            </a:extLst>
                          </a:blip>
                          <a:stretch>
                            <a:fillRect/>
                          </a:stretch>
                        </pic:blipFill>
                        <pic:spPr>
                          <a:xfrm>
                            <a:off x="0" y="0"/>
                            <a:ext cx="1400364" cy="704850"/>
                          </a:xfrm>
                          <a:prstGeom prst="rect">
                            <a:avLst/>
                          </a:prstGeom>
                        </pic:spPr>
                      </pic:pic>
                    </a:graphicData>
                  </a:graphic>
                </wp:anchor>
              </w:drawing>
            </w:r>
          </w:p>
        </w:tc>
        <w:tc>
          <w:tcPr>
            <w:tcW w:w="4849" w:type="dxa"/>
          </w:tcPr>
          <w:p w14:paraId="129BDE4E" w14:textId="77777777" w:rsidR="009612BE" w:rsidRPr="00253D08" w:rsidRDefault="009612BE" w:rsidP="009847B1">
            <w:pPr>
              <w:jc w:val="center"/>
              <w:rPr>
                <w:rFonts w:ascii="Lucida Sans" w:hAnsi="Lucida Sans"/>
                <w:b/>
                <w:sz w:val="20"/>
              </w:rPr>
            </w:pPr>
            <w:r w:rsidRPr="00253D08">
              <w:rPr>
                <w:rFonts w:ascii="Lucida Sans" w:hAnsi="Lucida Sans"/>
                <w:b/>
                <w:sz w:val="20"/>
              </w:rPr>
              <w:t>Space Coast Association of REALTORS®, I</w:t>
            </w:r>
            <w:r>
              <w:rPr>
                <w:rFonts w:ascii="Lucida Sans" w:hAnsi="Lucida Sans"/>
                <w:b/>
                <w:sz w:val="20"/>
              </w:rPr>
              <w:t>nc</w:t>
            </w:r>
            <w:r w:rsidRPr="00253D08">
              <w:rPr>
                <w:rFonts w:ascii="Lucida Sans" w:hAnsi="Lucida Sans"/>
                <w:b/>
                <w:sz w:val="20"/>
              </w:rPr>
              <w:t>.</w:t>
            </w:r>
          </w:p>
          <w:p w14:paraId="00ABFF1A" w14:textId="77777777" w:rsidR="009612BE" w:rsidRPr="00253D08" w:rsidRDefault="009612BE" w:rsidP="009847B1">
            <w:pPr>
              <w:jc w:val="center"/>
              <w:rPr>
                <w:rFonts w:ascii="Lucida Sans" w:hAnsi="Lucida Sans"/>
                <w:sz w:val="18"/>
                <w:szCs w:val="18"/>
              </w:rPr>
            </w:pPr>
            <w:r>
              <w:rPr>
                <w:rFonts w:ascii="Lucida Sans" w:hAnsi="Lucida Sans"/>
                <w:sz w:val="18"/>
                <w:szCs w:val="18"/>
              </w:rPr>
              <w:t>2950 Pineda Plaza Way</w:t>
            </w:r>
            <w:r w:rsidRPr="00253D08">
              <w:rPr>
                <w:rFonts w:ascii="Lucida Sans" w:hAnsi="Lucida Sans"/>
                <w:sz w:val="18"/>
                <w:szCs w:val="18"/>
              </w:rPr>
              <w:t xml:space="preserve">, </w:t>
            </w:r>
            <w:r>
              <w:rPr>
                <w:rFonts w:ascii="Lucida Sans" w:hAnsi="Lucida Sans"/>
                <w:sz w:val="18"/>
                <w:szCs w:val="18"/>
              </w:rPr>
              <w:t>Palm Shores, FL  32940</w:t>
            </w:r>
          </w:p>
          <w:p w14:paraId="616634BA" w14:textId="77777777" w:rsidR="009612BE" w:rsidRPr="00253D08" w:rsidRDefault="009612BE" w:rsidP="009847B1">
            <w:pPr>
              <w:jc w:val="center"/>
              <w:rPr>
                <w:rFonts w:ascii="Lucida Sans" w:hAnsi="Lucida Sans"/>
                <w:sz w:val="18"/>
                <w:szCs w:val="18"/>
              </w:rPr>
            </w:pPr>
            <w:r>
              <w:rPr>
                <w:rFonts w:ascii="Lucida Sans" w:hAnsi="Lucida Sans"/>
                <w:sz w:val="18"/>
                <w:szCs w:val="18"/>
              </w:rPr>
              <w:t>Phone:</w:t>
            </w:r>
            <w:r w:rsidRPr="00253D08">
              <w:rPr>
                <w:rFonts w:ascii="Lucida Sans" w:hAnsi="Lucida Sans"/>
                <w:sz w:val="18"/>
                <w:szCs w:val="18"/>
              </w:rPr>
              <w:t xml:space="preserve"> 321-242-2211</w:t>
            </w:r>
            <w:r>
              <w:rPr>
                <w:rFonts w:ascii="Lucida Sans" w:hAnsi="Lucida Sans"/>
                <w:sz w:val="18"/>
                <w:szCs w:val="18"/>
              </w:rPr>
              <w:t xml:space="preserve">    Fax:  321-255-7669</w:t>
            </w:r>
          </w:p>
          <w:p w14:paraId="2901AAD3" w14:textId="77777777" w:rsidR="009612BE" w:rsidRPr="00253D08" w:rsidRDefault="009612BE" w:rsidP="009847B1">
            <w:pPr>
              <w:jc w:val="center"/>
              <w:rPr>
                <w:rFonts w:ascii="Lucida Sans" w:hAnsi="Lucida Sans"/>
                <w:sz w:val="18"/>
                <w:szCs w:val="18"/>
              </w:rPr>
            </w:pPr>
            <w:hyperlink r:id="rId6" w:history="1">
              <w:r w:rsidRPr="00234A71">
                <w:rPr>
                  <w:rStyle w:val="Hyperlink"/>
                </w:rPr>
                <w:t>www.SpaceCoastMLS.com</w:t>
              </w:r>
            </w:hyperlink>
            <w:r>
              <w:t xml:space="preserve"> </w:t>
            </w:r>
            <w:r w:rsidRPr="00253D08">
              <w:rPr>
                <w:rFonts w:ascii="Lucida Sans" w:hAnsi="Lucida Sans"/>
                <w:sz w:val="18"/>
                <w:szCs w:val="18"/>
              </w:rPr>
              <w:t xml:space="preserve"> </w:t>
            </w:r>
          </w:p>
          <w:p w14:paraId="40032B22" w14:textId="77777777" w:rsidR="009612BE" w:rsidRDefault="009612BE" w:rsidP="009847B1">
            <w:pPr>
              <w:pStyle w:val="Header"/>
            </w:pPr>
          </w:p>
        </w:tc>
        <w:tc>
          <w:tcPr>
            <w:tcW w:w="2065" w:type="dxa"/>
          </w:tcPr>
          <w:p w14:paraId="549A7FF5" w14:textId="77777777" w:rsidR="009612BE" w:rsidRDefault="009612BE" w:rsidP="009847B1">
            <w:pPr>
              <w:pStyle w:val="Header"/>
            </w:pPr>
            <w:r>
              <w:rPr>
                <w:noProof/>
              </w:rPr>
              <w:drawing>
                <wp:anchor distT="0" distB="0" distL="114300" distR="114300" simplePos="0" relativeHeight="251659264" behindDoc="1" locked="0" layoutInCell="1" allowOverlap="1" wp14:anchorId="450E0FD5" wp14:editId="47823EE3">
                  <wp:simplePos x="0" y="0"/>
                  <wp:positionH relativeFrom="margin">
                    <wp:posOffset>10795</wp:posOffset>
                  </wp:positionH>
                  <wp:positionV relativeFrom="paragraph">
                    <wp:posOffset>-276225</wp:posOffset>
                  </wp:positionV>
                  <wp:extent cx="1114425" cy="1271905"/>
                  <wp:effectExtent l="0" t="0" r="0" b="0"/>
                  <wp:wrapNone/>
                  <wp:docPr id="3" name="Picture 3" descr="A close up of a sign&#10;&#10;Description generated with high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Realtor R Logo Blue.png"/>
                          <pic:cNvPicPr/>
                        </pic:nvPicPr>
                        <pic:blipFill>
                          <a:blip r:embed="rId7" cstate="print">
                            <a:extLst>
                              <a:ext uri="{28A0092B-C50C-407E-A947-70E740481C1C}">
                                <a14:useLocalDpi xmlns:a14="http://schemas.microsoft.com/office/drawing/2010/main" val="0"/>
                              </a:ext>
                            </a:extLst>
                          </a:blip>
                          <a:stretch>
                            <a:fillRect/>
                          </a:stretch>
                        </pic:blipFill>
                        <pic:spPr>
                          <a:xfrm>
                            <a:off x="0" y="0"/>
                            <a:ext cx="1114425" cy="1271905"/>
                          </a:xfrm>
                          <a:prstGeom prst="rect">
                            <a:avLst/>
                          </a:prstGeom>
                        </pic:spPr>
                      </pic:pic>
                    </a:graphicData>
                  </a:graphic>
                  <wp14:sizeRelH relativeFrom="margin">
                    <wp14:pctWidth>0</wp14:pctWidth>
                  </wp14:sizeRelH>
                  <wp14:sizeRelV relativeFrom="margin">
                    <wp14:pctHeight>0</wp14:pctHeight>
                  </wp14:sizeRelV>
                </wp:anchor>
              </w:drawing>
            </w:r>
          </w:p>
        </w:tc>
      </w:tr>
    </w:tbl>
    <w:p w14:paraId="233D3472" w14:textId="77777777" w:rsidR="000C674E" w:rsidRDefault="000C674E" w:rsidP="000C674E"/>
    <w:p w14:paraId="48756004" w14:textId="5F0D7B39" w:rsidR="004B4310" w:rsidRPr="00537A7A" w:rsidRDefault="00537A7A" w:rsidP="00537A7A">
      <w:pPr>
        <w:pStyle w:val="Heading1"/>
        <w:rPr>
          <w:rFonts w:ascii="Arial" w:hAnsi="Arial" w:cs="Arial"/>
        </w:rPr>
      </w:pPr>
      <w:r w:rsidRPr="00537A7A">
        <w:rPr>
          <w:rFonts w:ascii="Arial" w:hAnsi="Arial" w:cs="Arial"/>
        </w:rPr>
        <w:t xml:space="preserve">Summary of </w:t>
      </w:r>
      <w:r w:rsidR="0075764B">
        <w:rPr>
          <w:rFonts w:ascii="Arial" w:hAnsi="Arial" w:cs="Arial"/>
        </w:rPr>
        <w:t xml:space="preserve">Mandatory </w:t>
      </w:r>
      <w:r w:rsidRPr="00537A7A">
        <w:rPr>
          <w:rFonts w:ascii="Arial" w:hAnsi="Arial" w:cs="Arial"/>
        </w:rPr>
        <w:t xml:space="preserve">MLS Changes </w:t>
      </w:r>
      <w:r>
        <w:rPr>
          <w:rFonts w:ascii="Arial" w:hAnsi="Arial" w:cs="Arial"/>
        </w:rPr>
        <w:t xml:space="preserve">from National Association of Realtors® </w:t>
      </w:r>
      <w:r w:rsidR="0075764B">
        <w:rPr>
          <w:rFonts w:ascii="Arial" w:hAnsi="Arial" w:cs="Arial"/>
        </w:rPr>
        <w:t xml:space="preserve">- </w:t>
      </w:r>
      <w:r w:rsidR="00E477CA">
        <w:rPr>
          <w:rFonts w:ascii="Arial" w:hAnsi="Arial" w:cs="Arial"/>
        </w:rPr>
        <w:t>Effective March 1, 2022</w:t>
      </w:r>
    </w:p>
    <w:p w14:paraId="08E2381F" w14:textId="1CD074CD" w:rsidR="00537A7A" w:rsidRPr="00537A7A" w:rsidRDefault="0075764B">
      <w:pPr>
        <w:rPr>
          <w:rFonts w:ascii="Arial" w:hAnsi="Arial" w:cs="Arial"/>
        </w:rPr>
      </w:pPr>
      <w:r>
        <w:rPr>
          <w:rFonts w:ascii="Arial" w:hAnsi="Arial" w:cs="Arial"/>
        </w:rPr>
        <w:t xml:space="preserve">Underlined and Highlighted Grey words are new language, </w:t>
      </w:r>
      <w:r w:rsidRPr="00E477CA">
        <w:rPr>
          <w:rFonts w:ascii="Arial" w:hAnsi="Arial" w:cs="Arial"/>
          <w:strike/>
        </w:rPr>
        <w:t>strikethrough</w:t>
      </w:r>
      <w:r>
        <w:rPr>
          <w:rFonts w:ascii="Arial" w:hAnsi="Arial" w:cs="Arial"/>
        </w:rPr>
        <w:t xml:space="preserve"> is removed language.</w:t>
      </w:r>
    </w:p>
    <w:p w14:paraId="10476E43" w14:textId="0D29DA2B" w:rsidR="00537A7A" w:rsidRPr="00537A7A" w:rsidRDefault="00537A7A">
      <w:pPr>
        <w:rPr>
          <w:rFonts w:ascii="Arial" w:hAnsi="Arial" w:cs="Arial"/>
          <w:b/>
          <w:bCs/>
        </w:rPr>
      </w:pPr>
      <w:r w:rsidRPr="00537A7A">
        <w:rPr>
          <w:rFonts w:ascii="Arial" w:hAnsi="Arial" w:cs="Arial"/>
          <w:b/>
          <w:bCs/>
        </w:rPr>
        <w:t xml:space="preserve">Added </w:t>
      </w:r>
    </w:p>
    <w:p w14:paraId="0D77E24F" w14:textId="77777777" w:rsidR="00537A7A" w:rsidRPr="00537A7A" w:rsidRDefault="00537A7A" w:rsidP="00537A7A">
      <w:pPr>
        <w:pStyle w:val="BodyText"/>
        <w:rPr>
          <w:b/>
          <w:bCs/>
          <w:highlight w:val="lightGray"/>
          <w:u w:val="single"/>
        </w:rPr>
      </w:pPr>
      <w:bookmarkStart w:id="0" w:name="_Toc74914994"/>
      <w:r w:rsidRPr="00537A7A">
        <w:rPr>
          <w:rStyle w:val="Heading2Char"/>
          <w:highlight w:val="lightGray"/>
          <w:u w:val="single"/>
        </w:rPr>
        <w:t>Section 1.24 –</w:t>
      </w:r>
      <w:bookmarkEnd w:id="0"/>
      <w:r w:rsidRPr="00537A7A">
        <w:rPr>
          <w:highlight w:val="lightGray"/>
          <w:u w:val="single"/>
        </w:rPr>
        <w:t xml:space="preserve"> </w:t>
      </w:r>
      <w:r w:rsidRPr="00537A7A">
        <w:rPr>
          <w:b/>
          <w:bCs/>
          <w:highlight w:val="lightGray"/>
          <w:u w:val="single"/>
        </w:rPr>
        <w:t>Property Addresses</w:t>
      </w:r>
    </w:p>
    <w:p w14:paraId="7E0D3123" w14:textId="53EEBFA6" w:rsidR="007C0023" w:rsidRDefault="00537A7A" w:rsidP="00537A7A">
      <w:pPr>
        <w:pStyle w:val="BodyText"/>
        <w:rPr>
          <w:highlight w:val="lightGray"/>
          <w:u w:val="single"/>
        </w:rPr>
      </w:pPr>
      <w:r w:rsidRPr="00537A7A">
        <w:rPr>
          <w:highlight w:val="lightGray"/>
          <w:u w:val="single"/>
        </w:rPr>
        <w:t>At the time of filing a listing, Participants (Brokers) and Subscribers (Agents) must include a property address available to other Participants (Brokers) and Subscribers (Agents), and if an address doesn’t exist a parcel identification number can be used. Where an address or parcel identification number are unavailable, the information filed with the MLS must include a legal description of the property sufficient to describe its location.</w:t>
      </w:r>
      <w:r w:rsidR="007C0023" w:rsidRPr="005449C1">
        <w:rPr>
          <w:highlight w:val="lightGray"/>
          <w:u w:val="single"/>
        </w:rPr>
        <w:t xml:space="preserve"> </w:t>
      </w:r>
      <w:r w:rsidR="00027742" w:rsidRPr="00E23D08">
        <w:rPr>
          <w:highlight w:val="lightGray"/>
          <w:u w:val="single"/>
        </w:rPr>
        <w:t>Failure to input a property address as specified in Section 1.24 will result in a fine as illustrated in Section 20.2.</w:t>
      </w:r>
    </w:p>
    <w:p w14:paraId="69119930" w14:textId="77777777" w:rsidR="007C0023" w:rsidRDefault="007C0023" w:rsidP="00537A7A">
      <w:pPr>
        <w:pStyle w:val="BodyText"/>
        <w:rPr>
          <w:highlight w:val="lightGray"/>
          <w:u w:val="single"/>
        </w:rPr>
      </w:pPr>
    </w:p>
    <w:p w14:paraId="19A34E68" w14:textId="039F0CDE" w:rsidR="00537A7A" w:rsidRPr="00537A7A" w:rsidRDefault="00537A7A">
      <w:pPr>
        <w:rPr>
          <w:rFonts w:ascii="Arial" w:hAnsi="Arial" w:cs="Arial"/>
        </w:rPr>
      </w:pPr>
    </w:p>
    <w:p w14:paraId="02C49EA8" w14:textId="77777777" w:rsidR="00537A7A" w:rsidRPr="00537A7A" w:rsidRDefault="00537A7A" w:rsidP="00537A7A">
      <w:pPr>
        <w:pStyle w:val="Heading2"/>
        <w:ind w:left="0"/>
        <w:rPr>
          <w:b w:val="0"/>
          <w:bCs w:val="0"/>
          <w:highlight w:val="lightGray"/>
          <w:u w:val="single"/>
        </w:rPr>
      </w:pPr>
      <w:r w:rsidRPr="00537A7A">
        <w:rPr>
          <w:highlight w:val="lightGray"/>
          <w:u w:val="single"/>
        </w:rPr>
        <w:t>Section 4.5 – Services Advertised as “Free”:</w:t>
      </w:r>
    </w:p>
    <w:p w14:paraId="258BC303" w14:textId="433FB2FF" w:rsidR="007C0023" w:rsidRDefault="00537A7A" w:rsidP="00537A7A">
      <w:pPr>
        <w:pStyle w:val="BodyText"/>
      </w:pPr>
      <w:r w:rsidRPr="00537A7A">
        <w:rPr>
          <w:highlight w:val="lightGray"/>
          <w:u w:val="single"/>
        </w:rPr>
        <w:t>MLS Participants (Brokers) and Subscribers (Agents) must not represent that their brokerage services to a client or customer are free or available at no cost to their clients, unless the Participant (Broker) or Subscriber (Agent) will receive no financial compensation from any source for those services.</w:t>
      </w:r>
      <w:r w:rsidR="007C0023" w:rsidRPr="007C0023">
        <w:t xml:space="preserve"> </w:t>
      </w:r>
    </w:p>
    <w:p w14:paraId="7DC2BA66" w14:textId="77777777" w:rsidR="00027742" w:rsidRDefault="00027742" w:rsidP="00537A7A">
      <w:pPr>
        <w:pStyle w:val="BodyText"/>
      </w:pPr>
    </w:p>
    <w:p w14:paraId="14C9F542" w14:textId="77777777" w:rsidR="00027742" w:rsidRDefault="00027742" w:rsidP="00027742">
      <w:pPr>
        <w:pStyle w:val="BodyText"/>
        <w:rPr>
          <w:highlight w:val="lightGray"/>
          <w:u w:val="single"/>
        </w:rPr>
      </w:pPr>
      <w:bookmarkStart w:id="1" w:name="_Hlk94705905"/>
      <w:r w:rsidRPr="00E23D08">
        <w:rPr>
          <w:highlight w:val="lightGray"/>
          <w:u w:val="single"/>
        </w:rPr>
        <w:t xml:space="preserve">Services advertised as “free” </w:t>
      </w:r>
      <w:bookmarkEnd w:id="1"/>
      <w:r>
        <w:rPr>
          <w:highlight w:val="lightGray"/>
          <w:u w:val="single"/>
        </w:rPr>
        <w:t xml:space="preserve">will result in an administrative fine of $250 and required to attend the MLS 2-hour sponsored course of instruction on the MLS Rules and Regulations within 90-days of notification by the MLS for the first violation.  Failure to complete the required education within the 90-day period will result in an additional administrative fine of $1,000 to be billed to the member’s membership account. </w:t>
      </w:r>
    </w:p>
    <w:p w14:paraId="22D2B1C8" w14:textId="77777777" w:rsidR="00027742" w:rsidRDefault="00027742" w:rsidP="00027742">
      <w:pPr>
        <w:pStyle w:val="BodyText"/>
        <w:ind w:left="720"/>
        <w:rPr>
          <w:highlight w:val="lightGray"/>
          <w:u w:val="single"/>
        </w:rPr>
      </w:pPr>
    </w:p>
    <w:p w14:paraId="07FB001B" w14:textId="77777777" w:rsidR="00027742" w:rsidRDefault="00027742" w:rsidP="00027742">
      <w:pPr>
        <w:pStyle w:val="BodyText"/>
        <w:rPr>
          <w:u w:val="single"/>
        </w:rPr>
      </w:pPr>
      <w:r>
        <w:rPr>
          <w:highlight w:val="lightGray"/>
          <w:u w:val="single"/>
        </w:rPr>
        <w:t>A second violation will result in an administrative fine of $500 assessed to both the MLS Participant (Broker) and MLS Subscriber (Agent). Any subsequent violations by the same MLS Participant (Broker) or MLS Subscriber (Agent), the MLS Participant (Broker) and MLS Subscriber (Agent), will each be assessed an administrative fine of $1,000.</w:t>
      </w:r>
      <w:r>
        <w:rPr>
          <w:u w:val="single"/>
        </w:rPr>
        <w:t xml:space="preserve">  </w:t>
      </w:r>
    </w:p>
    <w:p w14:paraId="09A7F0B2" w14:textId="77777777" w:rsidR="007C0023" w:rsidRDefault="007C0023" w:rsidP="00537A7A">
      <w:pPr>
        <w:pStyle w:val="BodyText"/>
        <w:rPr>
          <w:u w:val="single"/>
        </w:rPr>
      </w:pPr>
    </w:p>
    <w:p w14:paraId="07BD431F" w14:textId="3C3260C3" w:rsidR="00537A7A" w:rsidRPr="00537A7A" w:rsidRDefault="00537A7A">
      <w:pPr>
        <w:rPr>
          <w:rFonts w:ascii="Arial" w:hAnsi="Arial" w:cs="Arial"/>
          <w:b/>
          <w:bCs/>
        </w:rPr>
      </w:pPr>
    </w:p>
    <w:p w14:paraId="4E7458C4" w14:textId="77777777" w:rsidR="00537A7A" w:rsidRPr="00537A7A" w:rsidRDefault="00537A7A" w:rsidP="00537A7A">
      <w:pPr>
        <w:pStyle w:val="Heading2"/>
        <w:ind w:left="0"/>
        <w:rPr>
          <w:highlight w:val="lightGray"/>
          <w:u w:val="single"/>
        </w:rPr>
      </w:pPr>
      <w:r w:rsidRPr="00537A7A">
        <w:rPr>
          <w:highlight w:val="lightGray"/>
          <w:u w:val="single"/>
        </w:rPr>
        <w:t>Section 5.4 – Display of Listing Broker’s Offer of Compensation:</w:t>
      </w:r>
    </w:p>
    <w:p w14:paraId="607E48DE" w14:textId="77777777" w:rsidR="00537A7A" w:rsidRPr="00537A7A" w:rsidRDefault="00537A7A" w:rsidP="00537A7A">
      <w:pPr>
        <w:pStyle w:val="BodyText"/>
        <w:rPr>
          <w:highlight w:val="lightGray"/>
          <w:u w:val="single"/>
        </w:rPr>
      </w:pPr>
      <w:r w:rsidRPr="00537A7A">
        <w:rPr>
          <w:highlight w:val="lightGray"/>
          <w:u w:val="single"/>
        </w:rPr>
        <w:t xml:space="preserve">Participants (Brokers) and Subscribers (Agents) who share the listing broker’s offer of compensation for an active listing must display the following disclaimer or something similar. </w:t>
      </w:r>
    </w:p>
    <w:p w14:paraId="21848EB0" w14:textId="093B34D3" w:rsidR="006339CB" w:rsidRPr="006339CB" w:rsidRDefault="006339CB" w:rsidP="00537A7A">
      <w:pPr>
        <w:pStyle w:val="BodyText"/>
      </w:pPr>
      <w:r w:rsidRPr="00027742">
        <w:rPr>
          <w:i/>
          <w:iCs/>
          <w:highlight w:val="lightGray"/>
          <w:u w:val="single"/>
        </w:rPr>
        <w:t>The listing broker’s offer of compensation is made only to participants of Space Coast MLS as well as Florida Realtors® MLS Advantage Participants</w:t>
      </w:r>
      <w:r w:rsidRPr="00027742">
        <w:rPr>
          <w:i/>
          <w:iCs/>
          <w:highlight w:val="lightGray"/>
        </w:rPr>
        <w:t>.</w:t>
      </w:r>
    </w:p>
    <w:p w14:paraId="73B6FF7D" w14:textId="0723C25A" w:rsidR="00537A7A" w:rsidRPr="00537A7A" w:rsidRDefault="00537A7A">
      <w:pPr>
        <w:rPr>
          <w:rFonts w:ascii="Arial" w:hAnsi="Arial" w:cs="Arial"/>
          <w:b/>
          <w:bCs/>
        </w:rPr>
      </w:pPr>
    </w:p>
    <w:p w14:paraId="5C698C62" w14:textId="77777777" w:rsidR="00E46063" w:rsidRDefault="00E46063">
      <w:pPr>
        <w:rPr>
          <w:rFonts w:ascii="Arial" w:hAnsi="Arial" w:cs="Arial"/>
          <w:b/>
          <w:bCs/>
        </w:rPr>
      </w:pPr>
    </w:p>
    <w:p w14:paraId="72818F41" w14:textId="40170B27" w:rsidR="00537A7A" w:rsidRDefault="002C656F" w:rsidP="00185378">
      <w:pPr>
        <w:pStyle w:val="Heading1"/>
      </w:pPr>
      <w:r>
        <w:t>Locally Adopted</w:t>
      </w:r>
      <w:r w:rsidR="00185378">
        <w:t xml:space="preserve"> MLS Rule Change</w:t>
      </w:r>
      <w:r>
        <w:t xml:space="preserve"> Effective March 1, 2022</w:t>
      </w:r>
    </w:p>
    <w:p w14:paraId="53C5B400" w14:textId="77777777" w:rsidR="0051260B" w:rsidRDefault="0051260B" w:rsidP="00C02228">
      <w:pPr>
        <w:rPr>
          <w:rFonts w:ascii="Arial" w:hAnsi="Arial" w:cs="Arial"/>
          <w:b/>
          <w:bCs/>
          <w:sz w:val="20"/>
          <w:szCs w:val="20"/>
        </w:rPr>
      </w:pPr>
    </w:p>
    <w:p w14:paraId="5D3EB367" w14:textId="148F2D33" w:rsidR="00C02228" w:rsidRPr="00C02228" w:rsidRDefault="00C02228" w:rsidP="00C02228">
      <w:pPr>
        <w:rPr>
          <w:rFonts w:ascii="Arial" w:hAnsi="Arial" w:cs="Arial"/>
          <w:sz w:val="20"/>
          <w:szCs w:val="20"/>
        </w:rPr>
      </w:pPr>
      <w:r w:rsidRPr="00C02228">
        <w:rPr>
          <w:rFonts w:ascii="Arial" w:hAnsi="Arial" w:cs="Arial"/>
          <w:b/>
          <w:bCs/>
          <w:sz w:val="20"/>
          <w:szCs w:val="20"/>
        </w:rPr>
        <w:t>Section 2.7 - Advertising of Listing Filed with the MLS</w:t>
      </w:r>
      <w:r w:rsidRPr="00C02228">
        <w:rPr>
          <w:rFonts w:ascii="Arial" w:hAnsi="Arial" w:cs="Arial"/>
          <w:sz w:val="20"/>
          <w:szCs w:val="20"/>
        </w:rPr>
        <w:t>:  </w:t>
      </w:r>
    </w:p>
    <w:p w14:paraId="49756756" w14:textId="77777777" w:rsidR="00C02228" w:rsidRPr="00C02228" w:rsidRDefault="00C02228" w:rsidP="00C02228">
      <w:pPr>
        <w:rPr>
          <w:rFonts w:ascii="Arial" w:hAnsi="Arial" w:cs="Arial"/>
          <w:sz w:val="20"/>
          <w:szCs w:val="20"/>
        </w:rPr>
      </w:pPr>
      <w:r w:rsidRPr="00C02228">
        <w:rPr>
          <w:rFonts w:ascii="Arial" w:hAnsi="Arial" w:cs="Arial"/>
          <w:sz w:val="20"/>
          <w:szCs w:val="20"/>
        </w:rPr>
        <w:t>A listing shall not be advertised by any Participant other than the listing broker without the prior consent of the listing broker.  </w:t>
      </w:r>
    </w:p>
    <w:p w14:paraId="380A1DD1" w14:textId="40707AAE" w:rsidR="00C02228" w:rsidRPr="00C02228" w:rsidRDefault="00C02228" w:rsidP="00C02228">
      <w:pPr>
        <w:rPr>
          <w:rFonts w:ascii="Arial" w:hAnsi="Arial" w:cs="Arial"/>
          <w:sz w:val="20"/>
          <w:szCs w:val="20"/>
          <w:highlight w:val="lightGray"/>
          <w:u w:val="single"/>
        </w:rPr>
      </w:pPr>
      <w:bookmarkStart w:id="2" w:name="_Hlk94706697"/>
      <w:r w:rsidRPr="00C02228">
        <w:rPr>
          <w:rFonts w:ascii="Arial" w:hAnsi="Arial" w:cs="Arial"/>
          <w:sz w:val="20"/>
          <w:szCs w:val="20"/>
          <w:highlight w:val="lightGray"/>
          <w:u w:val="single"/>
        </w:rPr>
        <w:lastRenderedPageBreak/>
        <w:t xml:space="preserve">The listing agent </w:t>
      </w:r>
      <w:r w:rsidR="00027742">
        <w:rPr>
          <w:rFonts w:ascii="Arial" w:hAnsi="Arial" w:cs="Arial"/>
          <w:sz w:val="20"/>
          <w:szCs w:val="20"/>
          <w:highlight w:val="lightGray"/>
          <w:u w:val="single"/>
        </w:rPr>
        <w:t xml:space="preserve">with the Participants approval, </w:t>
      </w:r>
      <w:r w:rsidRPr="00C02228">
        <w:rPr>
          <w:rFonts w:ascii="Arial" w:hAnsi="Arial" w:cs="Arial"/>
          <w:sz w:val="20"/>
          <w:szCs w:val="20"/>
          <w:highlight w:val="lightGray"/>
          <w:u w:val="single"/>
        </w:rPr>
        <w:t xml:space="preserve">may grant Blanket Approval for any member to advertise their listings in the MLS. This will be a YES or NO mandatory field on each listing individually and will default to NO in </w:t>
      </w:r>
      <w:r w:rsidR="00B03E5C">
        <w:rPr>
          <w:rFonts w:ascii="Arial" w:hAnsi="Arial" w:cs="Arial"/>
          <w:sz w:val="20"/>
          <w:szCs w:val="20"/>
          <w:highlight w:val="lightGray"/>
          <w:u w:val="single"/>
        </w:rPr>
        <w:t>the</w:t>
      </w:r>
      <w:r w:rsidRPr="00C02228">
        <w:rPr>
          <w:rFonts w:ascii="Arial" w:hAnsi="Arial" w:cs="Arial"/>
          <w:sz w:val="20"/>
          <w:szCs w:val="20"/>
          <w:highlight w:val="lightGray"/>
          <w:u w:val="single"/>
        </w:rPr>
        <w:t xml:space="preserve"> MLS.  </w:t>
      </w:r>
    </w:p>
    <w:p w14:paraId="7726B104" w14:textId="77777777" w:rsidR="00C02228" w:rsidRPr="00C02228" w:rsidRDefault="00C02228" w:rsidP="00C02228">
      <w:pPr>
        <w:rPr>
          <w:rFonts w:ascii="Arial" w:hAnsi="Arial" w:cs="Arial"/>
          <w:sz w:val="20"/>
          <w:szCs w:val="20"/>
          <w:highlight w:val="lightGray"/>
          <w:u w:val="single"/>
        </w:rPr>
      </w:pPr>
      <w:r w:rsidRPr="00C02228">
        <w:rPr>
          <w:rFonts w:ascii="Arial" w:hAnsi="Arial" w:cs="Arial"/>
          <w:sz w:val="20"/>
          <w:szCs w:val="20"/>
          <w:highlight w:val="lightGray"/>
          <w:u w:val="single"/>
        </w:rPr>
        <w:t>Listing agents may choose to give one, all or none of their listings Blanket Approval. </w:t>
      </w:r>
    </w:p>
    <w:p w14:paraId="2261DB58" w14:textId="77777777" w:rsidR="00C02228" w:rsidRPr="00C02228" w:rsidRDefault="00C02228" w:rsidP="00C02228">
      <w:pPr>
        <w:rPr>
          <w:rFonts w:ascii="Arial" w:hAnsi="Arial" w:cs="Arial"/>
          <w:sz w:val="20"/>
          <w:szCs w:val="20"/>
          <w:highlight w:val="lightGray"/>
          <w:u w:val="single"/>
        </w:rPr>
      </w:pPr>
      <w:r w:rsidRPr="00C02228">
        <w:rPr>
          <w:rFonts w:ascii="Arial" w:hAnsi="Arial" w:cs="Arial"/>
          <w:sz w:val="20"/>
          <w:szCs w:val="20"/>
          <w:highlight w:val="lightGray"/>
          <w:u w:val="single"/>
        </w:rPr>
        <w:t>When a listing is marked YES, the listing agent gives permission to allow other agents to advertise their listing in print or on the internet. In addition to any applicable advertising rules, these additional rules apply: </w:t>
      </w:r>
    </w:p>
    <w:p w14:paraId="1F28803C" w14:textId="688AEC90" w:rsidR="00C02228" w:rsidRPr="00C02228" w:rsidRDefault="00C02228" w:rsidP="00C02228">
      <w:pPr>
        <w:pStyle w:val="ListParagraph"/>
        <w:numPr>
          <w:ilvl w:val="0"/>
          <w:numId w:val="4"/>
        </w:numPr>
        <w:rPr>
          <w:sz w:val="20"/>
          <w:szCs w:val="20"/>
          <w:highlight w:val="lightGray"/>
          <w:u w:val="single"/>
        </w:rPr>
      </w:pPr>
      <w:r w:rsidRPr="00C02228">
        <w:rPr>
          <w:sz w:val="20"/>
          <w:szCs w:val="20"/>
          <w:highlight w:val="lightGray"/>
          <w:u w:val="single"/>
        </w:rPr>
        <w:t>No changes or manipulation of the listing data may occur, a true and accurate picture of the listing must be presented and may not attempt to mislead the consumer. </w:t>
      </w:r>
    </w:p>
    <w:p w14:paraId="6FCC394A" w14:textId="78A68837" w:rsidR="00C02228" w:rsidRPr="00C02228" w:rsidRDefault="00C02228" w:rsidP="00C02228">
      <w:pPr>
        <w:pStyle w:val="ListParagraph"/>
        <w:numPr>
          <w:ilvl w:val="0"/>
          <w:numId w:val="4"/>
        </w:numPr>
        <w:rPr>
          <w:sz w:val="20"/>
          <w:szCs w:val="20"/>
          <w:highlight w:val="lightGray"/>
          <w:u w:val="single"/>
        </w:rPr>
      </w:pPr>
      <w:r w:rsidRPr="00C02228">
        <w:rPr>
          <w:sz w:val="20"/>
          <w:szCs w:val="20"/>
          <w:highlight w:val="lightGray"/>
          <w:u w:val="single"/>
        </w:rPr>
        <w:t>The advertising agent cannot portray the listing as their own or belonging to their office unless that is a true representation. </w:t>
      </w:r>
    </w:p>
    <w:p w14:paraId="1C4224A1" w14:textId="7AB1689C" w:rsidR="00C02228" w:rsidRPr="00C02228" w:rsidRDefault="00CE69DA" w:rsidP="00C02228">
      <w:pPr>
        <w:pStyle w:val="ListParagraph"/>
        <w:numPr>
          <w:ilvl w:val="0"/>
          <w:numId w:val="4"/>
        </w:numPr>
        <w:rPr>
          <w:sz w:val="20"/>
          <w:szCs w:val="20"/>
          <w:highlight w:val="lightGray"/>
          <w:u w:val="single"/>
        </w:rPr>
      </w:pPr>
      <w:r>
        <w:rPr>
          <w:sz w:val="20"/>
          <w:szCs w:val="20"/>
          <w:highlight w:val="lightGray"/>
          <w:u w:val="single"/>
        </w:rPr>
        <w:t>“</w:t>
      </w:r>
      <w:r w:rsidR="00C02228" w:rsidRPr="00C02228">
        <w:rPr>
          <w:sz w:val="20"/>
          <w:szCs w:val="20"/>
          <w:highlight w:val="lightGray"/>
          <w:u w:val="single"/>
        </w:rPr>
        <w:t>Courtesy Of” with the listing agent’s name &amp; brokerage must be included in the verbiage of the advertisement in a readily visible color and font, with typeface not smaller than the median used in the display of listing data.  </w:t>
      </w:r>
    </w:p>
    <w:p w14:paraId="37EAA744" w14:textId="1050DF16" w:rsidR="00C02228" w:rsidRDefault="00B03E5C" w:rsidP="00C02228">
      <w:pPr>
        <w:pStyle w:val="ListParagraph"/>
        <w:numPr>
          <w:ilvl w:val="0"/>
          <w:numId w:val="4"/>
        </w:numPr>
        <w:rPr>
          <w:sz w:val="20"/>
          <w:szCs w:val="20"/>
          <w:highlight w:val="lightGray"/>
          <w:u w:val="single"/>
        </w:rPr>
      </w:pPr>
      <w:r>
        <w:rPr>
          <w:sz w:val="20"/>
          <w:szCs w:val="20"/>
          <w:highlight w:val="lightGray"/>
          <w:u w:val="single"/>
        </w:rPr>
        <w:t>Once you mark a listing YES for blanket approval y</w:t>
      </w:r>
      <w:r w:rsidR="00C02228" w:rsidRPr="00C02228">
        <w:rPr>
          <w:sz w:val="20"/>
          <w:szCs w:val="20"/>
          <w:highlight w:val="lightGray"/>
          <w:u w:val="single"/>
        </w:rPr>
        <w:t>ou cannot rescind the blanke</w:t>
      </w:r>
      <w:r>
        <w:rPr>
          <w:sz w:val="20"/>
          <w:szCs w:val="20"/>
          <w:highlight w:val="lightGray"/>
          <w:u w:val="single"/>
        </w:rPr>
        <w:t>t</w:t>
      </w:r>
      <w:r w:rsidR="00C02228" w:rsidRPr="00C02228">
        <w:rPr>
          <w:sz w:val="20"/>
          <w:szCs w:val="20"/>
          <w:highlight w:val="lightGray"/>
          <w:u w:val="single"/>
        </w:rPr>
        <w:t xml:space="preserve"> approval authorization.</w:t>
      </w:r>
    </w:p>
    <w:p w14:paraId="70A69169" w14:textId="41255E8F" w:rsidR="00B03E5C" w:rsidRDefault="00B03E5C" w:rsidP="00B03E5C">
      <w:pPr>
        <w:rPr>
          <w:sz w:val="20"/>
          <w:szCs w:val="20"/>
          <w:highlight w:val="lightGray"/>
          <w:u w:val="single"/>
        </w:rPr>
      </w:pPr>
    </w:p>
    <w:bookmarkEnd w:id="2"/>
    <w:p w14:paraId="1091C430" w14:textId="361F4E56" w:rsidR="0051260B" w:rsidRDefault="0051260B" w:rsidP="0051260B">
      <w:pPr>
        <w:pStyle w:val="BodyText"/>
        <w:rPr>
          <w:highlight w:val="lightGray"/>
          <w:u w:val="single"/>
        </w:rPr>
      </w:pPr>
      <w:r>
        <w:rPr>
          <w:highlight w:val="lightGray"/>
          <w:u w:val="single"/>
        </w:rPr>
        <w:t xml:space="preserve">Advertising a listing without prior consent of the listing broker </w:t>
      </w:r>
      <w:bookmarkStart w:id="3" w:name="_Hlk94707384"/>
      <w:r>
        <w:rPr>
          <w:highlight w:val="lightGray"/>
          <w:u w:val="single"/>
        </w:rPr>
        <w:t xml:space="preserve">will result in an administrative fine of $250 and required to attend the MLS 2-hour sponsored course of instruction on the MLS Rules and Regulations within 90-days of notification by the MLS for the first violation.  Failure to complete the required education within the 90-day period will result in an additional administrative fine of $1,000 to be billed to the member’s membership account. </w:t>
      </w:r>
    </w:p>
    <w:p w14:paraId="43202461" w14:textId="77777777" w:rsidR="0051260B" w:rsidRDefault="0051260B" w:rsidP="0051260B">
      <w:pPr>
        <w:pStyle w:val="BodyText"/>
        <w:ind w:left="720"/>
        <w:rPr>
          <w:highlight w:val="lightGray"/>
          <w:u w:val="single"/>
        </w:rPr>
      </w:pPr>
    </w:p>
    <w:p w14:paraId="432066E5" w14:textId="77777777" w:rsidR="0051260B" w:rsidRDefault="0051260B" w:rsidP="0051260B">
      <w:pPr>
        <w:pStyle w:val="BodyText"/>
        <w:rPr>
          <w:u w:val="single"/>
        </w:rPr>
      </w:pPr>
      <w:r>
        <w:rPr>
          <w:highlight w:val="lightGray"/>
          <w:u w:val="single"/>
        </w:rPr>
        <w:t>A second violation will result in an administrative fine of $500 assessed to both the MLS Participant (Broker) and MLS Subscriber (Agent). Any subsequent violations by the same MLS Participant (Broker) or MLS Subscriber (Agent), the MLS Participant (Broker) and MLS Subscriber (Agent), will each be assessed an administrative fine of $1,000.</w:t>
      </w:r>
      <w:r>
        <w:rPr>
          <w:u w:val="single"/>
        </w:rPr>
        <w:t xml:space="preserve">  </w:t>
      </w:r>
      <w:bookmarkEnd w:id="3"/>
    </w:p>
    <w:p w14:paraId="51A95FB3" w14:textId="4D1827DF" w:rsidR="00B03E5C" w:rsidRPr="00B03E5C" w:rsidRDefault="00B03E5C" w:rsidP="0051260B">
      <w:pPr>
        <w:pStyle w:val="BodyText"/>
        <w:rPr>
          <w:highlight w:val="lightGray"/>
          <w:u w:val="single"/>
        </w:rPr>
      </w:pPr>
    </w:p>
    <w:p w14:paraId="66752226" w14:textId="77777777" w:rsidR="00547808" w:rsidRPr="00E23D08" w:rsidRDefault="00547808">
      <w:pPr>
        <w:rPr>
          <w:rFonts w:ascii="Arial" w:hAnsi="Arial" w:cs="Arial"/>
          <w:b/>
          <w:bCs/>
          <w:sz w:val="20"/>
          <w:szCs w:val="20"/>
        </w:rPr>
      </w:pPr>
    </w:p>
    <w:p w14:paraId="485E74D1" w14:textId="77777777" w:rsidR="007C0023" w:rsidRPr="005557A8" w:rsidRDefault="007C0023" w:rsidP="007C0023">
      <w:pPr>
        <w:pStyle w:val="BodyText"/>
        <w:ind w:right="188"/>
      </w:pPr>
      <w:bookmarkStart w:id="4" w:name="_Toc93920562"/>
      <w:r w:rsidRPr="00541253">
        <w:rPr>
          <w:rStyle w:val="Heading2Char"/>
        </w:rPr>
        <w:t>Section 20.2 -</w:t>
      </w:r>
      <w:bookmarkEnd w:id="4"/>
      <w:r w:rsidRPr="005557A8">
        <w:rPr>
          <w:b/>
        </w:rPr>
        <w:t xml:space="preserve"> </w:t>
      </w:r>
      <w:r w:rsidRPr="005557A8">
        <w:t>For failure to comply with each of the following provisions in addition to the provisions of Sections 9 and 9.1 the Participant shall receive a courtesy notice and allowed 1 business day to correct the violation, if it is a first offense. A repeat or second offense will incur an a</w:t>
      </w:r>
      <w:r>
        <w:t xml:space="preserve">dministrative </w:t>
      </w:r>
      <w:r w:rsidRPr="005557A8">
        <w:t>fine, as stipulated in these rules:</w:t>
      </w:r>
    </w:p>
    <w:p w14:paraId="6AB45F33" w14:textId="77777777" w:rsidR="007C0023" w:rsidRPr="005557A8" w:rsidRDefault="007C0023" w:rsidP="007C0023">
      <w:pPr>
        <w:pStyle w:val="BodyText"/>
      </w:pPr>
    </w:p>
    <w:p w14:paraId="24B5093C" w14:textId="77777777" w:rsidR="007C0023" w:rsidRPr="005557A8" w:rsidRDefault="007C0023" w:rsidP="007C0023">
      <w:pPr>
        <w:pStyle w:val="ListParagraph"/>
        <w:numPr>
          <w:ilvl w:val="1"/>
          <w:numId w:val="1"/>
        </w:numPr>
        <w:tabs>
          <w:tab w:val="left" w:pos="859"/>
          <w:tab w:val="left" w:pos="860"/>
        </w:tabs>
        <w:ind w:hanging="361"/>
        <w:rPr>
          <w:sz w:val="20"/>
          <w:szCs w:val="20"/>
        </w:rPr>
      </w:pPr>
      <w:r w:rsidRPr="005557A8">
        <w:rPr>
          <w:sz w:val="20"/>
          <w:szCs w:val="20"/>
        </w:rPr>
        <w:t>First offense: $50.00</w:t>
      </w:r>
    </w:p>
    <w:p w14:paraId="5030173E" w14:textId="77777777" w:rsidR="007C0023" w:rsidRPr="005557A8" w:rsidRDefault="007C0023" w:rsidP="007C0023">
      <w:pPr>
        <w:pStyle w:val="ListParagraph"/>
        <w:numPr>
          <w:ilvl w:val="1"/>
          <w:numId w:val="1"/>
        </w:numPr>
        <w:tabs>
          <w:tab w:val="left" w:pos="859"/>
          <w:tab w:val="left" w:pos="860"/>
        </w:tabs>
        <w:ind w:hanging="361"/>
        <w:rPr>
          <w:sz w:val="20"/>
          <w:szCs w:val="20"/>
        </w:rPr>
      </w:pPr>
      <w:r w:rsidRPr="005557A8">
        <w:rPr>
          <w:sz w:val="20"/>
          <w:szCs w:val="20"/>
        </w:rPr>
        <w:t>Second offense: $250.00</w:t>
      </w:r>
    </w:p>
    <w:p w14:paraId="5FF87432" w14:textId="77777777" w:rsidR="007C0023" w:rsidRDefault="007C0023" w:rsidP="007C0023">
      <w:pPr>
        <w:pStyle w:val="BodyText"/>
      </w:pPr>
    </w:p>
    <w:p w14:paraId="598E97BA" w14:textId="228299C5" w:rsidR="007C0023" w:rsidRDefault="007C0023" w:rsidP="007C0023">
      <w:pPr>
        <w:pStyle w:val="BodyText"/>
      </w:pPr>
      <w:r w:rsidRPr="005557A8">
        <w:t>Additional offenses will require a $500.00 minimum fine and a hearing before the MLS Governing Body.</w:t>
      </w:r>
    </w:p>
    <w:p w14:paraId="0751E307" w14:textId="77777777" w:rsidR="007C0023" w:rsidRPr="005557A8" w:rsidRDefault="007C0023" w:rsidP="007C0023">
      <w:pPr>
        <w:pStyle w:val="BodyText"/>
      </w:pPr>
    </w:p>
    <w:p w14:paraId="0330A585" w14:textId="77777777" w:rsidR="007C0023" w:rsidRPr="005557A8" w:rsidRDefault="007C0023" w:rsidP="007C0023">
      <w:pPr>
        <w:pStyle w:val="ListParagraph"/>
        <w:numPr>
          <w:ilvl w:val="0"/>
          <w:numId w:val="2"/>
        </w:numPr>
        <w:tabs>
          <w:tab w:val="left" w:pos="860"/>
        </w:tabs>
        <w:ind w:right="500"/>
        <w:rPr>
          <w:sz w:val="20"/>
          <w:szCs w:val="20"/>
        </w:rPr>
      </w:pPr>
      <w:r w:rsidRPr="005557A8">
        <w:rPr>
          <w:sz w:val="20"/>
          <w:szCs w:val="20"/>
        </w:rPr>
        <w:t>Failure</w:t>
      </w:r>
      <w:r w:rsidRPr="005557A8">
        <w:rPr>
          <w:spacing w:val="-4"/>
          <w:sz w:val="20"/>
          <w:szCs w:val="20"/>
        </w:rPr>
        <w:t xml:space="preserve"> </w:t>
      </w:r>
      <w:r w:rsidRPr="005557A8">
        <w:rPr>
          <w:sz w:val="20"/>
          <w:szCs w:val="20"/>
        </w:rPr>
        <w:t>to</w:t>
      </w:r>
      <w:r w:rsidRPr="005557A8">
        <w:rPr>
          <w:spacing w:val="-2"/>
          <w:sz w:val="20"/>
          <w:szCs w:val="20"/>
        </w:rPr>
        <w:t xml:space="preserve"> </w:t>
      </w:r>
      <w:r w:rsidRPr="005557A8">
        <w:rPr>
          <w:sz w:val="20"/>
          <w:szCs w:val="20"/>
        </w:rPr>
        <w:t>input</w:t>
      </w:r>
      <w:r w:rsidRPr="005557A8">
        <w:rPr>
          <w:spacing w:val="-2"/>
          <w:sz w:val="20"/>
          <w:szCs w:val="20"/>
        </w:rPr>
        <w:t xml:space="preserve"> </w:t>
      </w:r>
      <w:r w:rsidRPr="005557A8">
        <w:rPr>
          <w:sz w:val="20"/>
          <w:szCs w:val="20"/>
        </w:rPr>
        <w:t>a</w:t>
      </w:r>
      <w:r w:rsidRPr="005557A8">
        <w:rPr>
          <w:spacing w:val="-4"/>
          <w:sz w:val="20"/>
          <w:szCs w:val="20"/>
        </w:rPr>
        <w:t xml:space="preserve"> </w:t>
      </w:r>
      <w:r w:rsidRPr="005557A8">
        <w:rPr>
          <w:sz w:val="20"/>
          <w:szCs w:val="20"/>
        </w:rPr>
        <w:t>listing</w:t>
      </w:r>
      <w:r w:rsidRPr="005557A8">
        <w:rPr>
          <w:spacing w:val="-1"/>
          <w:sz w:val="20"/>
          <w:szCs w:val="20"/>
        </w:rPr>
        <w:t xml:space="preserve"> </w:t>
      </w:r>
      <w:r w:rsidRPr="005557A8">
        <w:rPr>
          <w:sz w:val="20"/>
          <w:szCs w:val="20"/>
        </w:rPr>
        <w:t>into</w:t>
      </w:r>
      <w:r w:rsidRPr="005557A8">
        <w:rPr>
          <w:spacing w:val="-1"/>
          <w:sz w:val="20"/>
          <w:szCs w:val="20"/>
        </w:rPr>
        <w:t xml:space="preserve"> </w:t>
      </w:r>
      <w:r w:rsidRPr="005557A8">
        <w:rPr>
          <w:sz w:val="20"/>
          <w:szCs w:val="20"/>
        </w:rPr>
        <w:t>the</w:t>
      </w:r>
      <w:r w:rsidRPr="005557A8">
        <w:rPr>
          <w:spacing w:val="-2"/>
          <w:sz w:val="20"/>
          <w:szCs w:val="20"/>
        </w:rPr>
        <w:t xml:space="preserve"> </w:t>
      </w:r>
      <w:r w:rsidRPr="005557A8">
        <w:rPr>
          <w:sz w:val="20"/>
          <w:szCs w:val="20"/>
        </w:rPr>
        <w:t>MLS</w:t>
      </w:r>
      <w:r w:rsidRPr="005557A8">
        <w:rPr>
          <w:spacing w:val="-2"/>
          <w:sz w:val="20"/>
          <w:szCs w:val="20"/>
        </w:rPr>
        <w:t xml:space="preserve"> </w:t>
      </w:r>
      <w:r w:rsidRPr="005557A8">
        <w:rPr>
          <w:sz w:val="20"/>
          <w:szCs w:val="20"/>
        </w:rPr>
        <w:t>within</w:t>
      </w:r>
      <w:r w:rsidRPr="005557A8">
        <w:rPr>
          <w:spacing w:val="-4"/>
          <w:sz w:val="20"/>
          <w:szCs w:val="20"/>
        </w:rPr>
        <w:t xml:space="preserve"> </w:t>
      </w:r>
      <w:r w:rsidRPr="00210296">
        <w:rPr>
          <w:sz w:val="20"/>
          <w:szCs w:val="20"/>
        </w:rPr>
        <w:t>five business days</w:t>
      </w:r>
      <w:r w:rsidRPr="00C2295E">
        <w:t xml:space="preserve"> </w:t>
      </w:r>
      <w:r w:rsidRPr="005557A8">
        <w:rPr>
          <w:sz w:val="20"/>
          <w:szCs w:val="20"/>
        </w:rPr>
        <w:t>after</w:t>
      </w:r>
      <w:r w:rsidRPr="005557A8">
        <w:rPr>
          <w:spacing w:val="-3"/>
          <w:sz w:val="20"/>
          <w:szCs w:val="20"/>
        </w:rPr>
        <w:t xml:space="preserve"> </w:t>
      </w:r>
      <w:r w:rsidRPr="005557A8">
        <w:rPr>
          <w:sz w:val="20"/>
          <w:szCs w:val="20"/>
        </w:rPr>
        <w:t>all</w:t>
      </w:r>
      <w:r w:rsidRPr="005557A8">
        <w:rPr>
          <w:spacing w:val="-4"/>
          <w:sz w:val="20"/>
          <w:szCs w:val="20"/>
        </w:rPr>
        <w:t xml:space="preserve"> </w:t>
      </w:r>
      <w:r w:rsidRPr="005557A8">
        <w:rPr>
          <w:sz w:val="20"/>
          <w:szCs w:val="20"/>
        </w:rPr>
        <w:t>necessary</w:t>
      </w:r>
      <w:r w:rsidRPr="005557A8">
        <w:rPr>
          <w:spacing w:val="-7"/>
          <w:sz w:val="20"/>
          <w:szCs w:val="20"/>
        </w:rPr>
        <w:t xml:space="preserve"> </w:t>
      </w:r>
      <w:r w:rsidRPr="005557A8">
        <w:rPr>
          <w:sz w:val="20"/>
          <w:szCs w:val="20"/>
        </w:rPr>
        <w:t>signatures</w:t>
      </w:r>
      <w:r w:rsidRPr="005557A8">
        <w:rPr>
          <w:spacing w:val="-3"/>
          <w:sz w:val="20"/>
          <w:szCs w:val="20"/>
        </w:rPr>
        <w:t xml:space="preserve"> </w:t>
      </w:r>
      <w:r w:rsidRPr="005557A8">
        <w:rPr>
          <w:sz w:val="20"/>
          <w:szCs w:val="20"/>
        </w:rPr>
        <w:t>have</w:t>
      </w:r>
      <w:r w:rsidRPr="005557A8">
        <w:rPr>
          <w:spacing w:val="-2"/>
          <w:sz w:val="20"/>
          <w:szCs w:val="20"/>
        </w:rPr>
        <w:t xml:space="preserve"> </w:t>
      </w:r>
      <w:r w:rsidRPr="005557A8">
        <w:rPr>
          <w:sz w:val="20"/>
          <w:szCs w:val="20"/>
        </w:rPr>
        <w:t>been obtained.</w:t>
      </w:r>
    </w:p>
    <w:p w14:paraId="7C4AA43F" w14:textId="77777777" w:rsidR="007C0023" w:rsidRPr="006E5BE0" w:rsidRDefault="007C0023" w:rsidP="007C0023">
      <w:pPr>
        <w:pStyle w:val="ListParagraph"/>
        <w:numPr>
          <w:ilvl w:val="0"/>
          <w:numId w:val="2"/>
        </w:numPr>
        <w:ind w:right="656" w:hanging="361"/>
        <w:rPr>
          <w:sz w:val="18"/>
          <w:szCs w:val="18"/>
        </w:rPr>
      </w:pPr>
      <w:r w:rsidRPr="00777A84">
        <w:rPr>
          <w:sz w:val="20"/>
          <w:szCs w:val="20"/>
        </w:rPr>
        <w:t xml:space="preserve">For failure to correct required fields, incorrect or misleading information on a listing within </w:t>
      </w:r>
      <w:r w:rsidRPr="006E5BE0">
        <w:rPr>
          <w:sz w:val="20"/>
          <w:szCs w:val="20"/>
        </w:rPr>
        <w:t xml:space="preserve">one business day. </w:t>
      </w:r>
    </w:p>
    <w:p w14:paraId="568C0949" w14:textId="77777777" w:rsidR="007C0023" w:rsidRPr="005557A8" w:rsidRDefault="007C0023" w:rsidP="007C0023">
      <w:pPr>
        <w:pStyle w:val="ListParagraph"/>
        <w:numPr>
          <w:ilvl w:val="0"/>
          <w:numId w:val="2"/>
        </w:numPr>
        <w:ind w:right="656" w:hanging="361"/>
      </w:pPr>
      <w:r w:rsidRPr="00777A84">
        <w:rPr>
          <w:sz w:val="20"/>
          <w:szCs w:val="20"/>
        </w:rPr>
        <w:t>For failure to input a Pending, Contingency (except Contingency w/kick out</w:t>
      </w:r>
      <w:r w:rsidRPr="006E5BE0">
        <w:rPr>
          <w:sz w:val="20"/>
          <w:szCs w:val="20"/>
        </w:rPr>
        <w:t xml:space="preserve"> clause</w:t>
      </w:r>
      <w:r w:rsidRPr="00777A84">
        <w:rPr>
          <w:sz w:val="20"/>
          <w:szCs w:val="20"/>
        </w:rPr>
        <w:t>) or Closed Sale within</w:t>
      </w:r>
      <w:r w:rsidRPr="00777A84">
        <w:rPr>
          <w:spacing w:val="-36"/>
          <w:sz w:val="20"/>
          <w:szCs w:val="20"/>
        </w:rPr>
        <w:t xml:space="preserve"> </w:t>
      </w:r>
      <w:r w:rsidRPr="006E5BE0">
        <w:rPr>
          <w:sz w:val="20"/>
          <w:szCs w:val="20"/>
        </w:rPr>
        <w:t>one business day.</w:t>
      </w:r>
      <w:r w:rsidRPr="00F52A37">
        <w:rPr>
          <w:sz w:val="20"/>
          <w:szCs w:val="20"/>
        </w:rPr>
        <w:t xml:space="preserve"> </w:t>
      </w:r>
      <w:r w:rsidRPr="00607D9D">
        <w:rPr>
          <w:sz w:val="20"/>
          <w:szCs w:val="20"/>
        </w:rPr>
        <w:t>after all necessary signatures have been obtained.</w:t>
      </w:r>
    </w:p>
    <w:p w14:paraId="554D24C9" w14:textId="77777777" w:rsidR="007C0023" w:rsidRPr="005557A8" w:rsidRDefault="007C0023" w:rsidP="007C0023">
      <w:pPr>
        <w:pStyle w:val="ListParagraph"/>
        <w:numPr>
          <w:ilvl w:val="0"/>
          <w:numId w:val="2"/>
        </w:numPr>
        <w:tabs>
          <w:tab w:val="left" w:pos="859"/>
        </w:tabs>
        <w:ind w:hanging="361"/>
        <w:rPr>
          <w:sz w:val="20"/>
          <w:szCs w:val="20"/>
        </w:rPr>
      </w:pPr>
      <w:r w:rsidRPr="005557A8">
        <w:rPr>
          <w:sz w:val="20"/>
          <w:szCs w:val="20"/>
        </w:rPr>
        <w:t>For failure to disclose Limited-Service Listings or Variable Rate</w:t>
      </w:r>
      <w:r w:rsidRPr="005557A8">
        <w:rPr>
          <w:spacing w:val="-5"/>
          <w:sz w:val="20"/>
          <w:szCs w:val="20"/>
        </w:rPr>
        <w:t xml:space="preserve"> </w:t>
      </w:r>
      <w:r w:rsidRPr="005557A8">
        <w:rPr>
          <w:sz w:val="20"/>
          <w:szCs w:val="20"/>
        </w:rPr>
        <w:t>Commission.</w:t>
      </w:r>
    </w:p>
    <w:p w14:paraId="0B89291C" w14:textId="77777777" w:rsidR="007C0023" w:rsidRPr="005557A8" w:rsidRDefault="007C0023" w:rsidP="007C0023">
      <w:pPr>
        <w:pStyle w:val="ListParagraph"/>
        <w:numPr>
          <w:ilvl w:val="0"/>
          <w:numId w:val="2"/>
        </w:numPr>
        <w:tabs>
          <w:tab w:val="left" w:pos="858"/>
          <w:tab w:val="left" w:pos="859"/>
        </w:tabs>
        <w:ind w:right="535"/>
        <w:rPr>
          <w:sz w:val="20"/>
          <w:szCs w:val="20"/>
        </w:rPr>
      </w:pPr>
      <w:r w:rsidRPr="005557A8">
        <w:rPr>
          <w:sz w:val="20"/>
          <w:szCs w:val="20"/>
        </w:rPr>
        <w:t>For</w:t>
      </w:r>
      <w:r w:rsidRPr="005557A8">
        <w:rPr>
          <w:spacing w:val="-3"/>
          <w:sz w:val="20"/>
          <w:szCs w:val="20"/>
        </w:rPr>
        <w:t xml:space="preserve"> </w:t>
      </w:r>
      <w:r w:rsidRPr="005557A8">
        <w:rPr>
          <w:sz w:val="20"/>
          <w:szCs w:val="20"/>
        </w:rPr>
        <w:t>failure</w:t>
      </w:r>
      <w:r w:rsidRPr="005557A8">
        <w:rPr>
          <w:spacing w:val="-4"/>
          <w:sz w:val="20"/>
          <w:szCs w:val="20"/>
        </w:rPr>
        <w:t xml:space="preserve"> </w:t>
      </w:r>
      <w:r w:rsidRPr="005557A8">
        <w:rPr>
          <w:sz w:val="20"/>
          <w:szCs w:val="20"/>
        </w:rPr>
        <w:t>to</w:t>
      </w:r>
      <w:r w:rsidRPr="005557A8">
        <w:rPr>
          <w:spacing w:val="-4"/>
          <w:sz w:val="20"/>
          <w:szCs w:val="20"/>
        </w:rPr>
        <w:t xml:space="preserve"> </w:t>
      </w:r>
      <w:r w:rsidRPr="005557A8">
        <w:rPr>
          <w:sz w:val="20"/>
          <w:szCs w:val="20"/>
        </w:rPr>
        <w:t>have</w:t>
      </w:r>
      <w:r w:rsidRPr="005557A8">
        <w:rPr>
          <w:spacing w:val="-4"/>
          <w:sz w:val="20"/>
          <w:szCs w:val="20"/>
        </w:rPr>
        <w:t xml:space="preserve"> </w:t>
      </w:r>
      <w:r w:rsidRPr="005557A8">
        <w:rPr>
          <w:sz w:val="20"/>
          <w:szCs w:val="20"/>
        </w:rPr>
        <w:t>all</w:t>
      </w:r>
      <w:r w:rsidRPr="005557A8">
        <w:rPr>
          <w:spacing w:val="-2"/>
          <w:sz w:val="20"/>
          <w:szCs w:val="20"/>
        </w:rPr>
        <w:t xml:space="preserve"> </w:t>
      </w:r>
      <w:r w:rsidRPr="005557A8">
        <w:rPr>
          <w:sz w:val="20"/>
          <w:szCs w:val="20"/>
        </w:rPr>
        <w:t>the</w:t>
      </w:r>
      <w:r w:rsidRPr="005557A8">
        <w:rPr>
          <w:spacing w:val="-2"/>
          <w:sz w:val="20"/>
          <w:szCs w:val="20"/>
        </w:rPr>
        <w:t xml:space="preserve"> </w:t>
      </w:r>
      <w:r w:rsidRPr="005557A8">
        <w:rPr>
          <w:sz w:val="20"/>
          <w:szCs w:val="20"/>
        </w:rPr>
        <w:t>Seller(s)</w:t>
      </w:r>
      <w:r w:rsidRPr="005557A8">
        <w:rPr>
          <w:spacing w:val="-3"/>
          <w:sz w:val="20"/>
          <w:szCs w:val="20"/>
        </w:rPr>
        <w:t xml:space="preserve"> </w:t>
      </w:r>
      <w:r w:rsidRPr="005557A8">
        <w:rPr>
          <w:sz w:val="20"/>
          <w:szCs w:val="20"/>
        </w:rPr>
        <w:t>written</w:t>
      </w:r>
      <w:r w:rsidRPr="005557A8">
        <w:rPr>
          <w:spacing w:val="-2"/>
          <w:sz w:val="20"/>
          <w:szCs w:val="20"/>
        </w:rPr>
        <w:t xml:space="preserve"> </w:t>
      </w:r>
      <w:r w:rsidRPr="005557A8">
        <w:rPr>
          <w:sz w:val="20"/>
          <w:szCs w:val="20"/>
        </w:rPr>
        <w:t>authorization(s)</w:t>
      </w:r>
      <w:r w:rsidRPr="005557A8">
        <w:rPr>
          <w:spacing w:val="-2"/>
          <w:sz w:val="20"/>
          <w:szCs w:val="20"/>
        </w:rPr>
        <w:t xml:space="preserve"> </w:t>
      </w:r>
      <w:r w:rsidRPr="005557A8">
        <w:rPr>
          <w:sz w:val="20"/>
          <w:szCs w:val="20"/>
        </w:rPr>
        <w:t>on</w:t>
      </w:r>
      <w:r w:rsidRPr="005557A8">
        <w:rPr>
          <w:spacing w:val="-4"/>
          <w:sz w:val="20"/>
          <w:szCs w:val="20"/>
        </w:rPr>
        <w:t xml:space="preserve"> </w:t>
      </w:r>
      <w:r w:rsidRPr="005557A8">
        <w:rPr>
          <w:sz w:val="20"/>
          <w:szCs w:val="20"/>
        </w:rPr>
        <w:t>price</w:t>
      </w:r>
      <w:r w:rsidRPr="005557A8">
        <w:rPr>
          <w:spacing w:val="-4"/>
          <w:sz w:val="20"/>
          <w:szCs w:val="20"/>
        </w:rPr>
        <w:t xml:space="preserve"> </w:t>
      </w:r>
      <w:r w:rsidRPr="005557A8">
        <w:rPr>
          <w:sz w:val="20"/>
          <w:szCs w:val="20"/>
        </w:rPr>
        <w:t>changes,</w:t>
      </w:r>
      <w:r w:rsidRPr="005557A8">
        <w:rPr>
          <w:spacing w:val="-3"/>
          <w:sz w:val="20"/>
          <w:szCs w:val="20"/>
        </w:rPr>
        <w:t xml:space="preserve"> </w:t>
      </w:r>
      <w:r w:rsidRPr="005557A8">
        <w:rPr>
          <w:sz w:val="20"/>
          <w:szCs w:val="20"/>
        </w:rPr>
        <w:t>extensions,</w:t>
      </w:r>
      <w:r w:rsidRPr="005557A8">
        <w:rPr>
          <w:spacing w:val="-3"/>
          <w:sz w:val="20"/>
          <w:szCs w:val="20"/>
        </w:rPr>
        <w:t xml:space="preserve"> </w:t>
      </w:r>
      <w:r w:rsidRPr="005557A8">
        <w:rPr>
          <w:sz w:val="20"/>
          <w:szCs w:val="20"/>
        </w:rPr>
        <w:t>or</w:t>
      </w:r>
      <w:r w:rsidRPr="005557A8">
        <w:rPr>
          <w:spacing w:val="-3"/>
          <w:sz w:val="20"/>
          <w:szCs w:val="20"/>
        </w:rPr>
        <w:t xml:space="preserve"> </w:t>
      </w:r>
      <w:r w:rsidRPr="005557A8">
        <w:rPr>
          <w:sz w:val="20"/>
          <w:szCs w:val="20"/>
        </w:rPr>
        <w:t>changes</w:t>
      </w:r>
      <w:r w:rsidRPr="005557A8">
        <w:rPr>
          <w:spacing w:val="-3"/>
          <w:sz w:val="20"/>
          <w:szCs w:val="20"/>
        </w:rPr>
        <w:t xml:space="preserve"> </w:t>
      </w:r>
      <w:r w:rsidRPr="005557A8">
        <w:rPr>
          <w:sz w:val="20"/>
          <w:szCs w:val="20"/>
        </w:rPr>
        <w:t>to</w:t>
      </w:r>
      <w:r w:rsidRPr="005557A8">
        <w:rPr>
          <w:spacing w:val="-4"/>
          <w:sz w:val="20"/>
          <w:szCs w:val="20"/>
        </w:rPr>
        <w:t xml:space="preserve"> </w:t>
      </w:r>
      <w:r w:rsidRPr="005557A8">
        <w:rPr>
          <w:sz w:val="20"/>
          <w:szCs w:val="20"/>
        </w:rPr>
        <w:t>the terms of the</w:t>
      </w:r>
      <w:r w:rsidRPr="005557A8">
        <w:rPr>
          <w:spacing w:val="-1"/>
          <w:sz w:val="20"/>
          <w:szCs w:val="20"/>
        </w:rPr>
        <w:t xml:space="preserve"> </w:t>
      </w:r>
      <w:r w:rsidRPr="005557A8">
        <w:rPr>
          <w:sz w:val="20"/>
          <w:szCs w:val="20"/>
        </w:rPr>
        <w:t>listing.</w:t>
      </w:r>
    </w:p>
    <w:p w14:paraId="27FAD4D7" w14:textId="77777777" w:rsidR="007C0023" w:rsidRPr="005557A8" w:rsidRDefault="007C0023" w:rsidP="007C0023">
      <w:pPr>
        <w:pStyle w:val="ListParagraph"/>
        <w:numPr>
          <w:ilvl w:val="0"/>
          <w:numId w:val="2"/>
        </w:numPr>
        <w:tabs>
          <w:tab w:val="left" w:pos="859"/>
        </w:tabs>
        <w:ind w:hanging="361"/>
        <w:rPr>
          <w:sz w:val="20"/>
          <w:szCs w:val="20"/>
        </w:rPr>
      </w:pPr>
      <w:r w:rsidRPr="005557A8">
        <w:rPr>
          <w:sz w:val="20"/>
          <w:szCs w:val="20"/>
        </w:rPr>
        <w:t>For failure to list exclusions in the agent information section of the</w:t>
      </w:r>
      <w:r w:rsidRPr="005557A8">
        <w:rPr>
          <w:spacing w:val="-8"/>
          <w:sz w:val="20"/>
          <w:szCs w:val="20"/>
        </w:rPr>
        <w:t xml:space="preserve"> </w:t>
      </w:r>
      <w:r w:rsidRPr="005557A8">
        <w:rPr>
          <w:sz w:val="20"/>
          <w:szCs w:val="20"/>
        </w:rPr>
        <w:t>listing.</w:t>
      </w:r>
    </w:p>
    <w:p w14:paraId="5CC40263" w14:textId="77777777" w:rsidR="007C0023" w:rsidRPr="00D60C01" w:rsidRDefault="007C0023" w:rsidP="007C0023">
      <w:pPr>
        <w:pStyle w:val="ListParagraph"/>
        <w:numPr>
          <w:ilvl w:val="0"/>
          <w:numId w:val="2"/>
        </w:numPr>
        <w:tabs>
          <w:tab w:val="left" w:pos="858"/>
          <w:tab w:val="left" w:pos="859"/>
        </w:tabs>
        <w:ind w:hanging="361"/>
        <w:rPr>
          <w:sz w:val="20"/>
          <w:szCs w:val="20"/>
        </w:rPr>
      </w:pPr>
      <w:r w:rsidRPr="0011138C">
        <w:rPr>
          <w:rFonts w:eastAsiaTheme="minorEastAsia"/>
          <w:sz w:val="20"/>
          <w:szCs w:val="20"/>
        </w:rPr>
        <w:t xml:space="preserve">For the placement of visible contact information to the public anywhere in the listing including but not limited to the narrative section, photo, audio, videos, or virtual tours, etc.  </w:t>
      </w:r>
    </w:p>
    <w:p w14:paraId="669C7857" w14:textId="77777777" w:rsidR="007C0023" w:rsidRPr="0011138C" w:rsidRDefault="007C0023" w:rsidP="007C0023">
      <w:pPr>
        <w:pStyle w:val="ListParagraph"/>
        <w:numPr>
          <w:ilvl w:val="0"/>
          <w:numId w:val="2"/>
        </w:numPr>
        <w:tabs>
          <w:tab w:val="left" w:pos="858"/>
          <w:tab w:val="left" w:pos="859"/>
        </w:tabs>
        <w:ind w:hanging="361"/>
        <w:rPr>
          <w:sz w:val="20"/>
          <w:szCs w:val="20"/>
        </w:rPr>
      </w:pPr>
      <w:r w:rsidRPr="0011138C">
        <w:rPr>
          <w:sz w:val="20"/>
          <w:szCs w:val="20"/>
        </w:rPr>
        <w:lastRenderedPageBreak/>
        <w:t>For failure to allow co-operating brokers to show an active listing. Listings that cannot be shown must be</w:t>
      </w:r>
      <w:r w:rsidRPr="0011138C">
        <w:rPr>
          <w:spacing w:val="-37"/>
          <w:sz w:val="20"/>
          <w:szCs w:val="20"/>
        </w:rPr>
        <w:t xml:space="preserve"> </w:t>
      </w:r>
      <w:r w:rsidRPr="0011138C">
        <w:rPr>
          <w:sz w:val="20"/>
          <w:szCs w:val="20"/>
        </w:rPr>
        <w:t>withdrawn.</w:t>
      </w:r>
    </w:p>
    <w:p w14:paraId="1BC17C6C" w14:textId="77777777" w:rsidR="007C0023" w:rsidRPr="005557A8" w:rsidRDefault="007C0023" w:rsidP="007C0023">
      <w:pPr>
        <w:pStyle w:val="ListParagraph"/>
        <w:numPr>
          <w:ilvl w:val="0"/>
          <w:numId w:val="2"/>
        </w:numPr>
        <w:tabs>
          <w:tab w:val="left" w:pos="858"/>
          <w:tab w:val="left" w:pos="859"/>
        </w:tabs>
        <w:ind w:hanging="361"/>
        <w:rPr>
          <w:sz w:val="20"/>
          <w:szCs w:val="20"/>
        </w:rPr>
      </w:pPr>
      <w:r w:rsidRPr="005557A8">
        <w:rPr>
          <w:sz w:val="20"/>
          <w:szCs w:val="20"/>
        </w:rPr>
        <w:t>For disclosing combination lockbox codes</w:t>
      </w:r>
      <w:r>
        <w:rPr>
          <w:sz w:val="20"/>
          <w:szCs w:val="20"/>
        </w:rPr>
        <w:t xml:space="preserve"> </w:t>
      </w:r>
      <w:r w:rsidRPr="006E5BE0">
        <w:rPr>
          <w:sz w:val="20"/>
          <w:szCs w:val="20"/>
        </w:rPr>
        <w:t>or any access codes anywhere</w:t>
      </w:r>
      <w:r w:rsidRPr="005557A8">
        <w:rPr>
          <w:sz w:val="20"/>
          <w:szCs w:val="20"/>
        </w:rPr>
        <w:t xml:space="preserve"> except office</w:t>
      </w:r>
      <w:r w:rsidRPr="006E5BE0">
        <w:rPr>
          <w:sz w:val="20"/>
          <w:szCs w:val="20"/>
        </w:rPr>
        <w:t xml:space="preserve"> only</w:t>
      </w:r>
      <w:r w:rsidRPr="005557A8">
        <w:rPr>
          <w:sz w:val="20"/>
          <w:szCs w:val="20"/>
        </w:rPr>
        <w:t xml:space="preserve"> remarks</w:t>
      </w:r>
      <w:r w:rsidRPr="005557A8">
        <w:rPr>
          <w:spacing w:val="-13"/>
          <w:sz w:val="20"/>
          <w:szCs w:val="20"/>
        </w:rPr>
        <w:t xml:space="preserve"> </w:t>
      </w:r>
      <w:r w:rsidRPr="005557A8">
        <w:rPr>
          <w:sz w:val="20"/>
          <w:szCs w:val="20"/>
        </w:rPr>
        <w:t>section.</w:t>
      </w:r>
    </w:p>
    <w:p w14:paraId="68CEF467" w14:textId="77777777" w:rsidR="007C0023" w:rsidRPr="00BA3538" w:rsidRDefault="007C0023" w:rsidP="007C0023">
      <w:pPr>
        <w:pStyle w:val="ListParagraph"/>
        <w:numPr>
          <w:ilvl w:val="0"/>
          <w:numId w:val="2"/>
        </w:numPr>
        <w:tabs>
          <w:tab w:val="left" w:pos="859"/>
          <w:tab w:val="left" w:pos="860"/>
        </w:tabs>
        <w:ind w:left="859" w:hanging="361"/>
      </w:pPr>
      <w:r w:rsidRPr="00A54B37">
        <w:rPr>
          <w:sz w:val="20"/>
          <w:szCs w:val="20"/>
        </w:rPr>
        <w:t xml:space="preserve">For failure to include the following statement, or substantially similar notice, on any print or non-print forms of advertising or other forms of public representation: “Based on information from the Space Coast MLS for the period (date) through (date)”. </w:t>
      </w:r>
    </w:p>
    <w:p w14:paraId="668303F5" w14:textId="73E1CD28" w:rsidR="007C0023" w:rsidRPr="000C674E" w:rsidRDefault="007C0023" w:rsidP="007C0023">
      <w:pPr>
        <w:pStyle w:val="ListParagraph"/>
        <w:numPr>
          <w:ilvl w:val="0"/>
          <w:numId w:val="2"/>
        </w:numPr>
        <w:tabs>
          <w:tab w:val="left" w:pos="859"/>
          <w:tab w:val="left" w:pos="860"/>
        </w:tabs>
        <w:ind w:left="859" w:hanging="361"/>
        <w:rPr>
          <w:highlight w:val="lightGray"/>
          <w:u w:val="single"/>
        </w:rPr>
      </w:pPr>
      <w:r w:rsidRPr="005449C1">
        <w:rPr>
          <w:sz w:val="20"/>
          <w:szCs w:val="20"/>
          <w:highlight w:val="lightGray"/>
          <w:u w:val="single"/>
        </w:rPr>
        <w:t xml:space="preserve">For failure to </w:t>
      </w:r>
      <w:r w:rsidR="00E23D08">
        <w:rPr>
          <w:sz w:val="20"/>
          <w:szCs w:val="20"/>
          <w:highlight w:val="lightGray"/>
          <w:u w:val="single"/>
        </w:rPr>
        <w:t>input</w:t>
      </w:r>
      <w:r w:rsidRPr="005449C1">
        <w:rPr>
          <w:sz w:val="20"/>
          <w:szCs w:val="20"/>
          <w:highlight w:val="lightGray"/>
          <w:u w:val="single"/>
        </w:rPr>
        <w:t xml:space="preserve"> a property address at the time of filing a listing with Space Coast MLS. </w:t>
      </w:r>
    </w:p>
    <w:p w14:paraId="38885C89" w14:textId="10AF018A" w:rsidR="000C674E" w:rsidRDefault="000C674E" w:rsidP="000C674E">
      <w:pPr>
        <w:tabs>
          <w:tab w:val="left" w:pos="859"/>
          <w:tab w:val="left" w:pos="860"/>
        </w:tabs>
        <w:rPr>
          <w:highlight w:val="lightGray"/>
          <w:u w:val="single"/>
        </w:rPr>
      </w:pPr>
    </w:p>
    <w:p w14:paraId="5BEE8DDA" w14:textId="77777777" w:rsidR="000C674E" w:rsidRPr="000C674E" w:rsidRDefault="000C674E" w:rsidP="000C674E"/>
    <w:p w14:paraId="23EE5D49" w14:textId="731A78DB" w:rsidR="007C0023" w:rsidRDefault="007C0023">
      <w:pPr>
        <w:rPr>
          <w:b/>
          <w:bCs/>
        </w:rPr>
      </w:pPr>
    </w:p>
    <w:p w14:paraId="38B6E0DD" w14:textId="3C4F5DD3" w:rsidR="002C656F" w:rsidRPr="00537A7A" w:rsidRDefault="002C656F" w:rsidP="002C656F">
      <w:pPr>
        <w:pStyle w:val="Heading1"/>
        <w:rPr>
          <w:rFonts w:ascii="Arial" w:hAnsi="Arial" w:cs="Arial"/>
        </w:rPr>
      </w:pPr>
      <w:r w:rsidRPr="00537A7A">
        <w:rPr>
          <w:rFonts w:ascii="Arial" w:hAnsi="Arial" w:cs="Arial"/>
        </w:rPr>
        <w:t xml:space="preserve">Summary of </w:t>
      </w:r>
      <w:r>
        <w:rPr>
          <w:rFonts w:ascii="Arial" w:hAnsi="Arial" w:cs="Arial"/>
        </w:rPr>
        <w:t xml:space="preserve">Mandatory </w:t>
      </w:r>
      <w:r w:rsidRPr="00537A7A">
        <w:rPr>
          <w:rFonts w:ascii="Arial" w:hAnsi="Arial" w:cs="Arial"/>
        </w:rPr>
        <w:t xml:space="preserve">MLS Changes </w:t>
      </w:r>
      <w:r>
        <w:rPr>
          <w:rFonts w:ascii="Arial" w:hAnsi="Arial" w:cs="Arial"/>
        </w:rPr>
        <w:t xml:space="preserve">from National Association of </w:t>
      </w:r>
      <w:proofErr w:type="gramStart"/>
      <w:r>
        <w:rPr>
          <w:rFonts w:ascii="Arial" w:hAnsi="Arial" w:cs="Arial"/>
        </w:rPr>
        <w:t>Realtors</w:t>
      </w:r>
      <w:proofErr w:type="gramEnd"/>
      <w:r>
        <w:rPr>
          <w:rFonts w:ascii="Arial" w:hAnsi="Arial" w:cs="Arial"/>
        </w:rPr>
        <w:t xml:space="preserve">® - Effective </w:t>
      </w:r>
      <w:r>
        <w:rPr>
          <w:rFonts w:ascii="Arial" w:hAnsi="Arial" w:cs="Arial"/>
        </w:rPr>
        <w:t>September 1</w:t>
      </w:r>
      <w:r>
        <w:rPr>
          <w:rFonts w:ascii="Arial" w:hAnsi="Arial" w:cs="Arial"/>
        </w:rPr>
        <w:t>, 2022</w:t>
      </w:r>
    </w:p>
    <w:p w14:paraId="5ADD4A43" w14:textId="77777777" w:rsidR="002C656F" w:rsidRPr="00537A7A" w:rsidRDefault="002C656F" w:rsidP="002C656F">
      <w:pPr>
        <w:rPr>
          <w:rFonts w:ascii="Arial" w:hAnsi="Arial" w:cs="Arial"/>
        </w:rPr>
      </w:pPr>
      <w:r>
        <w:rPr>
          <w:rFonts w:ascii="Arial" w:hAnsi="Arial" w:cs="Arial"/>
        </w:rPr>
        <w:t xml:space="preserve">Underlined and Highlighted Grey words are new language, </w:t>
      </w:r>
      <w:r w:rsidRPr="00E477CA">
        <w:rPr>
          <w:rFonts w:ascii="Arial" w:hAnsi="Arial" w:cs="Arial"/>
          <w:strike/>
        </w:rPr>
        <w:t>strikethrough</w:t>
      </w:r>
      <w:r>
        <w:rPr>
          <w:rFonts w:ascii="Arial" w:hAnsi="Arial" w:cs="Arial"/>
        </w:rPr>
        <w:t xml:space="preserve"> is removed language.</w:t>
      </w:r>
    </w:p>
    <w:p w14:paraId="4F9B229E" w14:textId="77777777" w:rsidR="002C656F" w:rsidRPr="00537A7A" w:rsidRDefault="002C656F" w:rsidP="002C656F">
      <w:pPr>
        <w:ind w:right="201"/>
        <w:rPr>
          <w:rFonts w:ascii="Arial" w:hAnsi="Arial" w:cs="Arial"/>
          <w:sz w:val="20"/>
          <w:szCs w:val="20"/>
        </w:rPr>
      </w:pPr>
      <w:bookmarkStart w:id="5" w:name="_Toc74915106"/>
      <w:r w:rsidRPr="00537A7A">
        <w:rPr>
          <w:rStyle w:val="Heading2Char"/>
        </w:rPr>
        <w:t>Section 18.2.4 -</w:t>
      </w:r>
      <w:bookmarkEnd w:id="5"/>
      <w:r w:rsidRPr="00537A7A">
        <w:rPr>
          <w:rFonts w:ascii="Arial" w:hAnsi="Arial" w:cs="Arial"/>
          <w:b/>
          <w:sz w:val="20"/>
          <w:szCs w:val="20"/>
        </w:rPr>
        <w:t xml:space="preserve"> </w:t>
      </w:r>
      <w:r w:rsidRPr="00537A7A">
        <w:rPr>
          <w:rFonts w:ascii="Arial" w:hAnsi="Arial" w:cs="Arial"/>
          <w:sz w:val="20"/>
          <w:szCs w:val="20"/>
        </w:rPr>
        <w:t xml:space="preserve">Participants may select the listings they choose to display through IDX based only on objective criteria including, but not limited to, factors such as geography or location (“uptown,” “downtown,” etc.), list price, type of property (e.g., condominiums, cooperatives, single-family detached, multi-family), </w:t>
      </w:r>
      <w:r w:rsidRPr="00537A7A">
        <w:rPr>
          <w:rFonts w:ascii="Arial" w:hAnsi="Arial" w:cs="Arial"/>
          <w:strike/>
          <w:sz w:val="20"/>
          <w:szCs w:val="20"/>
        </w:rPr>
        <w:t>cooperative compensation offered by listing brokers</w:t>
      </w:r>
      <w:r w:rsidRPr="00537A7A">
        <w:rPr>
          <w:rFonts w:ascii="Arial" w:hAnsi="Arial" w:cs="Arial"/>
          <w:sz w:val="20"/>
          <w:szCs w:val="20"/>
        </w:rPr>
        <w:t xml:space="preserve">, </w:t>
      </w:r>
      <w:r w:rsidRPr="00537A7A">
        <w:rPr>
          <w:rFonts w:ascii="Arial" w:hAnsi="Arial" w:cs="Arial"/>
          <w:sz w:val="20"/>
          <w:szCs w:val="20"/>
          <w:highlight w:val="lightGray"/>
          <w:u w:val="single"/>
        </w:rPr>
        <w:t>or</w:t>
      </w:r>
      <w:r w:rsidRPr="00537A7A">
        <w:rPr>
          <w:rFonts w:ascii="Arial" w:hAnsi="Arial" w:cs="Arial"/>
          <w:sz w:val="20"/>
          <w:szCs w:val="20"/>
          <w:u w:val="single"/>
        </w:rPr>
        <w:t xml:space="preserve"> </w:t>
      </w:r>
      <w:r w:rsidRPr="00537A7A">
        <w:rPr>
          <w:rFonts w:ascii="Arial" w:hAnsi="Arial" w:cs="Arial"/>
          <w:sz w:val="20"/>
          <w:szCs w:val="20"/>
        </w:rPr>
        <w:t xml:space="preserve">type of listing (e.g., exclusive right-to-sell or exclusive agency), </w:t>
      </w:r>
      <w:r w:rsidRPr="00537A7A">
        <w:rPr>
          <w:rFonts w:ascii="Arial" w:hAnsi="Arial" w:cs="Arial"/>
          <w:strike/>
          <w:sz w:val="20"/>
          <w:szCs w:val="20"/>
        </w:rPr>
        <w:t>or the level of service being provided by the listing firm.</w:t>
      </w:r>
      <w:r w:rsidRPr="00537A7A">
        <w:rPr>
          <w:rFonts w:ascii="Arial" w:hAnsi="Arial" w:cs="Arial"/>
          <w:sz w:val="20"/>
          <w:szCs w:val="20"/>
        </w:rPr>
        <w:t xml:space="preserve"> Selection of listings displayed through IDX must be independently made by each participant. </w:t>
      </w:r>
    </w:p>
    <w:p w14:paraId="0D8BD9E6" w14:textId="77777777" w:rsidR="002C656F" w:rsidRPr="00537A7A" w:rsidRDefault="002C656F" w:rsidP="002C656F">
      <w:pPr>
        <w:ind w:right="201"/>
        <w:rPr>
          <w:rFonts w:ascii="Arial" w:hAnsi="Arial" w:cs="Arial"/>
          <w:sz w:val="20"/>
          <w:szCs w:val="20"/>
        </w:rPr>
      </w:pPr>
    </w:p>
    <w:p w14:paraId="4932FF81" w14:textId="77777777" w:rsidR="002C656F" w:rsidRPr="00537A7A" w:rsidRDefault="002C656F" w:rsidP="002C656F">
      <w:pPr>
        <w:pStyle w:val="BodyText"/>
        <w:rPr>
          <w:b/>
        </w:rPr>
      </w:pPr>
      <w:bookmarkStart w:id="6" w:name="_Toc74915114"/>
      <w:r w:rsidRPr="00537A7A">
        <w:rPr>
          <w:rStyle w:val="Heading2Char"/>
        </w:rPr>
        <w:t>Section 18.2.12 -</w:t>
      </w:r>
      <w:bookmarkEnd w:id="6"/>
      <w:r w:rsidRPr="00537A7A">
        <w:rPr>
          <w:b/>
        </w:rPr>
        <w:t xml:space="preserve"> </w:t>
      </w:r>
      <w:r w:rsidRPr="00537A7A">
        <w:t>All listings displayed pursuant to IDX shall identify the listing firm</w:t>
      </w:r>
      <w:r w:rsidRPr="00537A7A">
        <w:rPr>
          <w:highlight w:val="lightGray"/>
          <w:u w:val="single"/>
        </w:rPr>
        <w:t>, and the email or phone number provide by the listing participant</w:t>
      </w:r>
      <w:r w:rsidRPr="00537A7A">
        <w:rPr>
          <w:u w:val="single"/>
        </w:rPr>
        <w:t xml:space="preserve"> </w:t>
      </w:r>
      <w:r w:rsidRPr="00537A7A">
        <w:t xml:space="preserve">in a reasonably prominent location and in a readily visible color and typeface not smaller than the median used in the display of listing data. * </w:t>
      </w:r>
    </w:p>
    <w:p w14:paraId="4480E57C" w14:textId="77777777" w:rsidR="002C656F" w:rsidRPr="00537A7A" w:rsidRDefault="002C656F" w:rsidP="002C656F">
      <w:pPr>
        <w:pStyle w:val="BodyText"/>
        <w:rPr>
          <w:b/>
        </w:rPr>
      </w:pPr>
    </w:p>
    <w:p w14:paraId="1FF095EC" w14:textId="77777777" w:rsidR="002C656F" w:rsidRPr="00537A7A" w:rsidRDefault="002C656F" w:rsidP="002C656F">
      <w:pPr>
        <w:pStyle w:val="BodyText"/>
        <w:rPr>
          <w:b/>
        </w:rPr>
      </w:pPr>
      <w:r w:rsidRPr="00537A7A">
        <w:t xml:space="preserve">*Displays of minimal information (e.g., “thumbnails”, text messages, “tweets”, etc., of two hundred [200] characters or less) are exempt from this requirement but only when linked directly to a display that includes all required disclosures. For audio delivery of listing content, all required disclosures must be subsequently delivered electronically to the registered consumer performing the property search or linked to through the device’s application. </w:t>
      </w:r>
    </w:p>
    <w:p w14:paraId="6BB44A56" w14:textId="77777777" w:rsidR="002C656F" w:rsidRPr="00537A7A" w:rsidRDefault="002C656F" w:rsidP="002C656F">
      <w:pPr>
        <w:ind w:right="201"/>
        <w:rPr>
          <w:rFonts w:ascii="Arial" w:hAnsi="Arial" w:cs="Arial"/>
          <w:b/>
          <w:sz w:val="20"/>
          <w:szCs w:val="20"/>
        </w:rPr>
      </w:pPr>
    </w:p>
    <w:p w14:paraId="7E94A9A5" w14:textId="77777777" w:rsidR="002C656F" w:rsidRDefault="002C656F" w:rsidP="002C656F">
      <w:pPr>
        <w:pStyle w:val="BodyText"/>
        <w:ind w:right="311"/>
      </w:pPr>
      <w:bookmarkStart w:id="7" w:name="_Toc74915116"/>
      <w:r w:rsidRPr="00537A7A">
        <w:rPr>
          <w:rStyle w:val="Heading2Char"/>
        </w:rPr>
        <w:t>Section 18.3.1 -</w:t>
      </w:r>
      <w:bookmarkEnd w:id="7"/>
      <w:r w:rsidRPr="00537A7A">
        <w:rPr>
          <w:b/>
        </w:rPr>
        <w:t xml:space="preserve"> </w:t>
      </w:r>
      <w:r w:rsidRPr="00537A7A">
        <w:t xml:space="preserve">Listings displayed pursuant to IDX shall contain only those fields of data designated by the MLS. Display of all other fields (as determined by the MLS) is prohibited. Confidential fields intended only for other MLS participants and users (e.g., </w:t>
      </w:r>
      <w:r w:rsidRPr="00537A7A">
        <w:rPr>
          <w:strike/>
        </w:rPr>
        <w:t>cooperative compensation</w:t>
      </w:r>
      <w:r w:rsidRPr="00C75D85">
        <w:rPr>
          <w:strike/>
        </w:rPr>
        <w:t xml:space="preserve"> offers</w:t>
      </w:r>
      <w:r w:rsidRPr="005557A8">
        <w:t xml:space="preserve">, showing instructions, property security information, </w:t>
      </w:r>
      <w:r w:rsidRPr="00C75D85">
        <w:rPr>
          <w:strike/>
        </w:rPr>
        <w:t>etc</w:t>
      </w:r>
      <w:r w:rsidRPr="005557A8">
        <w:t xml:space="preserve">.) </w:t>
      </w:r>
      <w:r w:rsidRPr="005557A8">
        <w:rPr>
          <w:spacing w:val="2"/>
        </w:rPr>
        <w:t xml:space="preserve">may </w:t>
      </w:r>
      <w:r w:rsidRPr="005557A8">
        <w:t>not be</w:t>
      </w:r>
      <w:r w:rsidRPr="005557A8">
        <w:rPr>
          <w:spacing w:val="-12"/>
        </w:rPr>
        <w:t xml:space="preserve"> </w:t>
      </w:r>
      <w:r w:rsidRPr="005557A8">
        <w:t>displayed.</w:t>
      </w:r>
    </w:p>
    <w:p w14:paraId="283D0811" w14:textId="77777777" w:rsidR="002C656F" w:rsidRDefault="002C656F" w:rsidP="002C656F">
      <w:pPr>
        <w:pStyle w:val="BodyText"/>
        <w:ind w:right="311"/>
      </w:pPr>
    </w:p>
    <w:p w14:paraId="486B4805" w14:textId="77777777" w:rsidR="002C656F" w:rsidRDefault="002C656F" w:rsidP="002C656F">
      <w:pPr>
        <w:pStyle w:val="BodyText"/>
        <w:ind w:right="311"/>
        <w:rPr>
          <w:rStyle w:val="BodyTextChar"/>
        </w:rPr>
      </w:pPr>
      <w:bookmarkStart w:id="8" w:name="_Toc74915128"/>
      <w:r w:rsidRPr="00541253">
        <w:rPr>
          <w:rStyle w:val="Heading2Char"/>
        </w:rPr>
        <w:t>Section 18.3.12 -</w:t>
      </w:r>
      <w:bookmarkEnd w:id="8"/>
      <w:r w:rsidRPr="008973F8">
        <w:rPr>
          <w:bCs/>
          <w:i/>
        </w:rPr>
        <w:t xml:space="preserve"> </w:t>
      </w:r>
      <w:r w:rsidRPr="00D37BA2">
        <w:rPr>
          <w:rStyle w:val="BodyTextChar"/>
        </w:rPr>
        <w:t xml:space="preserve">Display of expired, </w:t>
      </w:r>
      <w:r w:rsidRPr="00C75D85">
        <w:rPr>
          <w:rStyle w:val="BodyTextChar"/>
          <w:highlight w:val="lightGray"/>
          <w:u w:val="single"/>
        </w:rPr>
        <w:t>and</w:t>
      </w:r>
      <w:r>
        <w:rPr>
          <w:rStyle w:val="BodyTextChar"/>
        </w:rPr>
        <w:t xml:space="preserve"> </w:t>
      </w:r>
      <w:r w:rsidRPr="00D37BA2">
        <w:rPr>
          <w:rStyle w:val="BodyTextChar"/>
        </w:rPr>
        <w:t>withdrawn listings is prohibited.</w:t>
      </w:r>
    </w:p>
    <w:p w14:paraId="56B6CB78" w14:textId="77777777" w:rsidR="002C656F" w:rsidRDefault="002C656F" w:rsidP="002C656F">
      <w:pPr>
        <w:pStyle w:val="BodyText"/>
        <w:ind w:right="311"/>
        <w:rPr>
          <w:rStyle w:val="BodyTextChar"/>
        </w:rPr>
      </w:pPr>
    </w:p>
    <w:p w14:paraId="3DA8AAC3" w14:textId="77777777" w:rsidR="002C656F" w:rsidRPr="00596D7B" w:rsidRDefault="002C656F" w:rsidP="002C656F">
      <w:pPr>
        <w:pStyle w:val="BodyText"/>
        <w:ind w:right="143"/>
        <w:rPr>
          <w:b/>
          <w:strike/>
        </w:rPr>
      </w:pPr>
      <w:bookmarkStart w:id="9" w:name="_Toc74915146"/>
      <w:r w:rsidRPr="00541253">
        <w:rPr>
          <w:rStyle w:val="Heading2Char"/>
        </w:rPr>
        <w:t>Section 19.12 -</w:t>
      </w:r>
      <w:bookmarkEnd w:id="9"/>
      <w:r w:rsidRPr="005557A8">
        <w:rPr>
          <w:b/>
        </w:rPr>
        <w:t xml:space="preserve"> </w:t>
      </w:r>
      <w:r w:rsidRPr="005557A8">
        <w:t xml:space="preserve">A participant’s VOW </w:t>
      </w:r>
      <w:r w:rsidRPr="005557A8">
        <w:rPr>
          <w:spacing w:val="2"/>
        </w:rPr>
        <w:t xml:space="preserve">may </w:t>
      </w:r>
      <w:r w:rsidRPr="005557A8">
        <w:t>exclude listings from display based only on objective criteria, including, but not</w:t>
      </w:r>
      <w:r w:rsidRPr="005557A8">
        <w:rPr>
          <w:spacing w:val="-11"/>
        </w:rPr>
        <w:t xml:space="preserve"> </w:t>
      </w:r>
      <w:r w:rsidRPr="005557A8">
        <w:t>limited</w:t>
      </w:r>
      <w:r w:rsidRPr="005557A8">
        <w:rPr>
          <w:spacing w:val="-12"/>
        </w:rPr>
        <w:t xml:space="preserve"> </w:t>
      </w:r>
      <w:r w:rsidRPr="005557A8">
        <w:t>to,</w:t>
      </w:r>
      <w:r w:rsidRPr="005557A8">
        <w:rPr>
          <w:spacing w:val="-11"/>
        </w:rPr>
        <w:t xml:space="preserve"> </w:t>
      </w:r>
      <w:r w:rsidRPr="005557A8">
        <w:t>factors</w:t>
      </w:r>
      <w:r w:rsidRPr="005557A8">
        <w:rPr>
          <w:spacing w:val="-10"/>
        </w:rPr>
        <w:t xml:space="preserve"> </w:t>
      </w:r>
      <w:r w:rsidRPr="005557A8">
        <w:t>such</w:t>
      </w:r>
      <w:r w:rsidRPr="005557A8">
        <w:rPr>
          <w:spacing w:val="-12"/>
        </w:rPr>
        <w:t xml:space="preserve"> </w:t>
      </w:r>
      <w:r w:rsidRPr="005557A8">
        <w:t>as</w:t>
      </w:r>
      <w:r w:rsidRPr="005557A8">
        <w:rPr>
          <w:spacing w:val="-10"/>
        </w:rPr>
        <w:t xml:space="preserve"> </w:t>
      </w:r>
      <w:r w:rsidRPr="005557A8">
        <w:t>geography,</w:t>
      </w:r>
      <w:r w:rsidRPr="005557A8">
        <w:rPr>
          <w:spacing w:val="-9"/>
        </w:rPr>
        <w:t xml:space="preserve"> </w:t>
      </w:r>
      <w:r w:rsidRPr="005557A8">
        <w:t>list</w:t>
      </w:r>
      <w:r w:rsidRPr="005557A8">
        <w:rPr>
          <w:spacing w:val="-11"/>
        </w:rPr>
        <w:t xml:space="preserve"> </w:t>
      </w:r>
      <w:r w:rsidRPr="005557A8">
        <w:t>price,</w:t>
      </w:r>
      <w:r w:rsidRPr="005557A8">
        <w:rPr>
          <w:spacing w:val="-11"/>
        </w:rPr>
        <w:t xml:space="preserve"> </w:t>
      </w:r>
      <w:r>
        <w:rPr>
          <w:spacing w:val="-11"/>
        </w:rPr>
        <w:t xml:space="preserve">or </w:t>
      </w:r>
      <w:r w:rsidRPr="005557A8">
        <w:t>type</w:t>
      </w:r>
      <w:r w:rsidRPr="005557A8">
        <w:rPr>
          <w:spacing w:val="-12"/>
        </w:rPr>
        <w:t xml:space="preserve"> </w:t>
      </w:r>
      <w:r w:rsidRPr="005557A8">
        <w:t>of</w:t>
      </w:r>
      <w:r w:rsidRPr="005557A8">
        <w:rPr>
          <w:spacing w:val="-9"/>
        </w:rPr>
        <w:t xml:space="preserve"> </w:t>
      </w:r>
      <w:r w:rsidRPr="005557A8">
        <w:t>property</w:t>
      </w:r>
      <w:r>
        <w:t>.</w:t>
      </w:r>
      <w:r w:rsidRPr="005557A8">
        <w:rPr>
          <w:spacing w:val="-11"/>
        </w:rPr>
        <w:t xml:space="preserve"> </w:t>
      </w:r>
      <w:r w:rsidRPr="00596D7B">
        <w:rPr>
          <w:strike/>
        </w:rPr>
        <w:t>cooperative</w:t>
      </w:r>
      <w:r w:rsidRPr="00596D7B">
        <w:rPr>
          <w:strike/>
          <w:spacing w:val="-12"/>
        </w:rPr>
        <w:t xml:space="preserve"> </w:t>
      </w:r>
      <w:r w:rsidRPr="00596D7B">
        <w:rPr>
          <w:strike/>
        </w:rPr>
        <w:t>compensation</w:t>
      </w:r>
      <w:r w:rsidRPr="00596D7B">
        <w:rPr>
          <w:strike/>
          <w:spacing w:val="-12"/>
        </w:rPr>
        <w:t xml:space="preserve"> </w:t>
      </w:r>
      <w:r w:rsidRPr="00596D7B">
        <w:rPr>
          <w:strike/>
        </w:rPr>
        <w:t>offered</w:t>
      </w:r>
      <w:r w:rsidRPr="00596D7B">
        <w:rPr>
          <w:strike/>
          <w:spacing w:val="-12"/>
        </w:rPr>
        <w:t xml:space="preserve"> </w:t>
      </w:r>
      <w:r w:rsidRPr="00596D7B">
        <w:rPr>
          <w:strike/>
        </w:rPr>
        <w:t>by</w:t>
      </w:r>
      <w:r w:rsidRPr="00596D7B">
        <w:rPr>
          <w:strike/>
          <w:spacing w:val="-12"/>
        </w:rPr>
        <w:t xml:space="preserve"> </w:t>
      </w:r>
      <w:r w:rsidRPr="00596D7B">
        <w:rPr>
          <w:strike/>
        </w:rPr>
        <w:t>listing</w:t>
      </w:r>
      <w:r w:rsidRPr="00596D7B">
        <w:rPr>
          <w:strike/>
          <w:spacing w:val="-12"/>
        </w:rPr>
        <w:t xml:space="preserve"> </w:t>
      </w:r>
      <w:r w:rsidRPr="00596D7B">
        <w:rPr>
          <w:strike/>
        </w:rPr>
        <w:t>broker, and whether the listing broker is a REALTORS®.</w:t>
      </w:r>
      <w:r w:rsidRPr="00596D7B">
        <w:rPr>
          <w:strike/>
          <w:spacing w:val="51"/>
        </w:rPr>
        <w:t xml:space="preserve"> </w:t>
      </w:r>
    </w:p>
    <w:p w14:paraId="0AABD176" w14:textId="77777777" w:rsidR="002C656F" w:rsidRDefault="002C656F" w:rsidP="002C656F">
      <w:pPr>
        <w:pStyle w:val="BodyText"/>
        <w:ind w:right="311"/>
      </w:pPr>
    </w:p>
    <w:p w14:paraId="7C8F4E71" w14:textId="77777777" w:rsidR="002C656F" w:rsidRPr="005557A8" w:rsidRDefault="002C656F" w:rsidP="002C656F">
      <w:pPr>
        <w:pStyle w:val="BodyText"/>
        <w:ind w:right="139"/>
      </w:pPr>
      <w:bookmarkStart w:id="10" w:name="_Toc74915152"/>
      <w:r w:rsidRPr="00541253">
        <w:rPr>
          <w:rStyle w:val="Heading2Char"/>
        </w:rPr>
        <w:t>Section 19.18 -</w:t>
      </w:r>
      <w:bookmarkEnd w:id="10"/>
      <w:r w:rsidRPr="005557A8">
        <w:rPr>
          <w:b/>
        </w:rPr>
        <w:t xml:space="preserve"> </w:t>
      </w:r>
      <w:r w:rsidRPr="005557A8">
        <w:t xml:space="preserve">A participant shall cause any listing that is displayed on his or her VOW to identify the name of the listing firm </w:t>
      </w:r>
      <w:r w:rsidRPr="00596D7B">
        <w:rPr>
          <w:strike/>
        </w:rPr>
        <w:t>and</w:t>
      </w:r>
      <w:r w:rsidRPr="005557A8">
        <w:t xml:space="preserve"> the listing broker or agent</w:t>
      </w:r>
      <w:r w:rsidRPr="00596D7B">
        <w:rPr>
          <w:highlight w:val="lightGray"/>
          <w:u w:val="single"/>
        </w:rPr>
        <w:t>, and the email or phone number provided by the listing participant</w:t>
      </w:r>
      <w:r w:rsidRPr="005557A8">
        <w:t xml:space="preserve"> in a readily visible color, in a reasonably prominent location, and in typeface not smaller than the median typeface used in the display of listing data.</w:t>
      </w:r>
    </w:p>
    <w:p w14:paraId="599B5FCB" w14:textId="77777777" w:rsidR="002C656F" w:rsidRPr="00537A7A" w:rsidRDefault="002C656F">
      <w:pPr>
        <w:rPr>
          <w:b/>
          <w:bCs/>
        </w:rPr>
      </w:pPr>
    </w:p>
    <w:sectPr w:rsidR="002C656F" w:rsidRPr="00537A7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Lucida Sans">
    <w:panose1 w:val="020B0602030504020204"/>
    <w:charset w:val="00"/>
    <w:family w:val="swiss"/>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9FF76F6"/>
    <w:multiLevelType w:val="multilevel"/>
    <w:tmpl w:val="152810A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 w15:restartNumberingAfterBreak="0">
    <w:nsid w:val="34A14F48"/>
    <w:multiLevelType w:val="hybridMultilevel"/>
    <w:tmpl w:val="D326E20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C465B84"/>
    <w:multiLevelType w:val="hybridMultilevel"/>
    <w:tmpl w:val="36A23854"/>
    <w:lvl w:ilvl="0" w:tplc="6D8AA20E">
      <w:start w:val="1"/>
      <w:numFmt w:val="lowerRoman"/>
      <w:lvlText w:val="%1."/>
      <w:lvlJc w:val="left"/>
      <w:pPr>
        <w:ind w:left="138" w:hanging="154"/>
        <w:jc w:val="right"/>
      </w:pPr>
      <w:rPr>
        <w:rFonts w:ascii="Arial" w:eastAsia="Arial" w:hAnsi="Arial" w:cs="Arial" w:hint="default"/>
        <w:spacing w:val="-2"/>
        <w:w w:val="99"/>
        <w:sz w:val="20"/>
        <w:szCs w:val="20"/>
        <w:lang w:val="en-US" w:eastAsia="en-US" w:bidi="en-US"/>
      </w:rPr>
    </w:lvl>
    <w:lvl w:ilvl="1" w:tplc="86B8BB70">
      <w:numFmt w:val="bullet"/>
      <w:lvlText w:val=""/>
      <w:lvlJc w:val="left"/>
      <w:pPr>
        <w:ind w:left="859" w:hanging="360"/>
      </w:pPr>
      <w:rPr>
        <w:rFonts w:ascii="Symbol" w:eastAsia="Symbol" w:hAnsi="Symbol" w:cs="Symbol" w:hint="default"/>
        <w:w w:val="99"/>
        <w:sz w:val="20"/>
        <w:szCs w:val="20"/>
        <w:lang w:val="en-US" w:eastAsia="en-US" w:bidi="en-US"/>
      </w:rPr>
    </w:lvl>
    <w:lvl w:ilvl="2" w:tplc="40BA8B14">
      <w:numFmt w:val="bullet"/>
      <w:lvlText w:val="•"/>
      <w:lvlJc w:val="left"/>
      <w:pPr>
        <w:ind w:left="1955" w:hanging="360"/>
      </w:pPr>
      <w:rPr>
        <w:rFonts w:hint="default"/>
        <w:lang w:val="en-US" w:eastAsia="en-US" w:bidi="en-US"/>
      </w:rPr>
    </w:lvl>
    <w:lvl w:ilvl="3" w:tplc="E3F0FBA4">
      <w:numFmt w:val="bullet"/>
      <w:lvlText w:val="•"/>
      <w:lvlJc w:val="left"/>
      <w:pPr>
        <w:ind w:left="3051" w:hanging="360"/>
      </w:pPr>
      <w:rPr>
        <w:rFonts w:hint="default"/>
        <w:lang w:val="en-US" w:eastAsia="en-US" w:bidi="en-US"/>
      </w:rPr>
    </w:lvl>
    <w:lvl w:ilvl="4" w:tplc="53C4DFA0">
      <w:numFmt w:val="bullet"/>
      <w:lvlText w:val="•"/>
      <w:lvlJc w:val="left"/>
      <w:pPr>
        <w:ind w:left="4146" w:hanging="360"/>
      </w:pPr>
      <w:rPr>
        <w:rFonts w:hint="default"/>
        <w:lang w:val="en-US" w:eastAsia="en-US" w:bidi="en-US"/>
      </w:rPr>
    </w:lvl>
    <w:lvl w:ilvl="5" w:tplc="8E745B2E">
      <w:numFmt w:val="bullet"/>
      <w:lvlText w:val="•"/>
      <w:lvlJc w:val="left"/>
      <w:pPr>
        <w:ind w:left="5242" w:hanging="360"/>
      </w:pPr>
      <w:rPr>
        <w:rFonts w:hint="default"/>
        <w:lang w:val="en-US" w:eastAsia="en-US" w:bidi="en-US"/>
      </w:rPr>
    </w:lvl>
    <w:lvl w:ilvl="6" w:tplc="78CCA618">
      <w:numFmt w:val="bullet"/>
      <w:lvlText w:val="•"/>
      <w:lvlJc w:val="left"/>
      <w:pPr>
        <w:ind w:left="6337" w:hanging="360"/>
      </w:pPr>
      <w:rPr>
        <w:rFonts w:hint="default"/>
        <w:lang w:val="en-US" w:eastAsia="en-US" w:bidi="en-US"/>
      </w:rPr>
    </w:lvl>
    <w:lvl w:ilvl="7" w:tplc="5E44CEF8">
      <w:numFmt w:val="bullet"/>
      <w:lvlText w:val="•"/>
      <w:lvlJc w:val="left"/>
      <w:pPr>
        <w:ind w:left="7433" w:hanging="360"/>
      </w:pPr>
      <w:rPr>
        <w:rFonts w:hint="default"/>
        <w:lang w:val="en-US" w:eastAsia="en-US" w:bidi="en-US"/>
      </w:rPr>
    </w:lvl>
    <w:lvl w:ilvl="8" w:tplc="7660D428">
      <w:numFmt w:val="bullet"/>
      <w:lvlText w:val="•"/>
      <w:lvlJc w:val="left"/>
      <w:pPr>
        <w:ind w:left="8528" w:hanging="360"/>
      </w:pPr>
      <w:rPr>
        <w:rFonts w:hint="default"/>
        <w:lang w:val="en-US" w:eastAsia="en-US" w:bidi="en-US"/>
      </w:rPr>
    </w:lvl>
  </w:abstractNum>
  <w:abstractNum w:abstractNumId="3" w15:restartNumberingAfterBreak="0">
    <w:nsid w:val="4E345498"/>
    <w:multiLevelType w:val="hybridMultilevel"/>
    <w:tmpl w:val="29AE7BE0"/>
    <w:lvl w:ilvl="0" w:tplc="E3EEC842">
      <w:start w:val="1"/>
      <w:numFmt w:val="lowerLetter"/>
      <w:lvlText w:val="%1."/>
      <w:lvlJc w:val="left"/>
      <w:pPr>
        <w:ind w:left="858" w:hanging="360"/>
      </w:pPr>
      <w:rPr>
        <w:rFonts w:ascii="Arial" w:eastAsia="Arial" w:hAnsi="Arial" w:cs="Arial" w:hint="default"/>
        <w:spacing w:val="-1"/>
        <w:w w:val="99"/>
        <w:sz w:val="20"/>
        <w:szCs w:val="20"/>
        <w:lang w:val="en-US" w:eastAsia="en-US" w:bidi="en-US"/>
      </w:rPr>
    </w:lvl>
    <w:lvl w:ilvl="1" w:tplc="35CAD1C8">
      <w:numFmt w:val="bullet"/>
      <w:lvlText w:val="•"/>
      <w:lvlJc w:val="left"/>
      <w:pPr>
        <w:ind w:left="1846" w:hanging="360"/>
      </w:pPr>
      <w:rPr>
        <w:rFonts w:hint="default"/>
        <w:lang w:val="en-US" w:eastAsia="en-US" w:bidi="en-US"/>
      </w:rPr>
    </w:lvl>
    <w:lvl w:ilvl="2" w:tplc="9BA48F6A">
      <w:numFmt w:val="bullet"/>
      <w:lvlText w:val="•"/>
      <w:lvlJc w:val="left"/>
      <w:pPr>
        <w:ind w:left="2832" w:hanging="360"/>
      </w:pPr>
      <w:rPr>
        <w:rFonts w:hint="default"/>
        <w:lang w:val="en-US" w:eastAsia="en-US" w:bidi="en-US"/>
      </w:rPr>
    </w:lvl>
    <w:lvl w:ilvl="3" w:tplc="61E03412">
      <w:numFmt w:val="bullet"/>
      <w:lvlText w:val="•"/>
      <w:lvlJc w:val="left"/>
      <w:pPr>
        <w:ind w:left="3818" w:hanging="360"/>
      </w:pPr>
      <w:rPr>
        <w:rFonts w:hint="default"/>
        <w:lang w:val="en-US" w:eastAsia="en-US" w:bidi="en-US"/>
      </w:rPr>
    </w:lvl>
    <w:lvl w:ilvl="4" w:tplc="0DFE393C">
      <w:numFmt w:val="bullet"/>
      <w:lvlText w:val="•"/>
      <w:lvlJc w:val="left"/>
      <w:pPr>
        <w:ind w:left="4804" w:hanging="360"/>
      </w:pPr>
      <w:rPr>
        <w:rFonts w:hint="default"/>
        <w:lang w:val="en-US" w:eastAsia="en-US" w:bidi="en-US"/>
      </w:rPr>
    </w:lvl>
    <w:lvl w:ilvl="5" w:tplc="2AE8652A">
      <w:numFmt w:val="bullet"/>
      <w:lvlText w:val="•"/>
      <w:lvlJc w:val="left"/>
      <w:pPr>
        <w:ind w:left="5790" w:hanging="360"/>
      </w:pPr>
      <w:rPr>
        <w:rFonts w:hint="default"/>
        <w:lang w:val="en-US" w:eastAsia="en-US" w:bidi="en-US"/>
      </w:rPr>
    </w:lvl>
    <w:lvl w:ilvl="6" w:tplc="7FEABA7A">
      <w:numFmt w:val="bullet"/>
      <w:lvlText w:val="•"/>
      <w:lvlJc w:val="left"/>
      <w:pPr>
        <w:ind w:left="6776" w:hanging="360"/>
      </w:pPr>
      <w:rPr>
        <w:rFonts w:hint="default"/>
        <w:lang w:val="en-US" w:eastAsia="en-US" w:bidi="en-US"/>
      </w:rPr>
    </w:lvl>
    <w:lvl w:ilvl="7" w:tplc="519640BC">
      <w:numFmt w:val="bullet"/>
      <w:lvlText w:val="•"/>
      <w:lvlJc w:val="left"/>
      <w:pPr>
        <w:ind w:left="7762" w:hanging="360"/>
      </w:pPr>
      <w:rPr>
        <w:rFonts w:hint="default"/>
        <w:lang w:val="en-US" w:eastAsia="en-US" w:bidi="en-US"/>
      </w:rPr>
    </w:lvl>
    <w:lvl w:ilvl="8" w:tplc="F29619B6">
      <w:numFmt w:val="bullet"/>
      <w:lvlText w:val="•"/>
      <w:lvlJc w:val="left"/>
      <w:pPr>
        <w:ind w:left="8748" w:hanging="360"/>
      </w:pPr>
      <w:rPr>
        <w:rFonts w:hint="default"/>
        <w:lang w:val="en-US" w:eastAsia="en-US" w:bidi="en-US"/>
      </w:rPr>
    </w:lvl>
  </w:abstractNum>
  <w:num w:numId="1">
    <w:abstractNumId w:val="2"/>
  </w:num>
  <w:num w:numId="2">
    <w:abstractNumId w:val="3"/>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6"/>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37A7A"/>
    <w:rsid w:val="00027742"/>
    <w:rsid w:val="000C674E"/>
    <w:rsid w:val="00185378"/>
    <w:rsid w:val="002C656F"/>
    <w:rsid w:val="00473055"/>
    <w:rsid w:val="004B4310"/>
    <w:rsid w:val="004C0C24"/>
    <w:rsid w:val="0051260B"/>
    <w:rsid w:val="00537A7A"/>
    <w:rsid w:val="00547808"/>
    <w:rsid w:val="006339CB"/>
    <w:rsid w:val="0075764B"/>
    <w:rsid w:val="007C0023"/>
    <w:rsid w:val="009612BE"/>
    <w:rsid w:val="009D6225"/>
    <w:rsid w:val="00AA7D97"/>
    <w:rsid w:val="00B03E5C"/>
    <w:rsid w:val="00C02228"/>
    <w:rsid w:val="00CE69DA"/>
    <w:rsid w:val="00E23D08"/>
    <w:rsid w:val="00E46063"/>
    <w:rsid w:val="00E477C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1D7E83"/>
  <w15:chartTrackingRefBased/>
  <w15:docId w15:val="{A8CDB315-D3D4-4966-977F-2EBF1B3453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37A7A"/>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link w:val="Heading2Char"/>
    <w:uiPriority w:val="9"/>
    <w:unhideWhenUsed/>
    <w:qFormat/>
    <w:rsid w:val="00537A7A"/>
    <w:pPr>
      <w:widowControl w:val="0"/>
      <w:autoSpaceDE w:val="0"/>
      <w:autoSpaceDN w:val="0"/>
      <w:spacing w:after="0" w:line="240" w:lineRule="auto"/>
      <w:ind w:left="139"/>
      <w:outlineLvl w:val="1"/>
    </w:pPr>
    <w:rPr>
      <w:rFonts w:ascii="Arial" w:eastAsia="Arial" w:hAnsi="Arial" w:cs="Arial"/>
      <w:b/>
      <w:bCs/>
      <w:sz w:val="20"/>
      <w:szCs w:val="20"/>
      <w:lang w:bidi="en-US"/>
    </w:rPr>
  </w:style>
  <w:style w:type="paragraph" w:styleId="Heading3">
    <w:name w:val="heading 3"/>
    <w:basedOn w:val="Normal"/>
    <w:next w:val="Normal"/>
    <w:link w:val="Heading3Char"/>
    <w:uiPriority w:val="9"/>
    <w:semiHidden/>
    <w:unhideWhenUsed/>
    <w:qFormat/>
    <w:rsid w:val="000C674E"/>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537A7A"/>
    <w:rPr>
      <w:rFonts w:ascii="Arial" w:eastAsia="Arial" w:hAnsi="Arial" w:cs="Arial"/>
      <w:b/>
      <w:bCs/>
      <w:sz w:val="20"/>
      <w:szCs w:val="20"/>
      <w:lang w:bidi="en-US"/>
    </w:rPr>
  </w:style>
  <w:style w:type="paragraph" w:styleId="BodyText">
    <w:name w:val="Body Text"/>
    <w:basedOn w:val="Normal"/>
    <w:link w:val="BodyTextChar"/>
    <w:uiPriority w:val="1"/>
    <w:qFormat/>
    <w:rsid w:val="00537A7A"/>
    <w:pPr>
      <w:widowControl w:val="0"/>
      <w:autoSpaceDE w:val="0"/>
      <w:autoSpaceDN w:val="0"/>
      <w:spacing w:after="0" w:line="240" w:lineRule="auto"/>
    </w:pPr>
    <w:rPr>
      <w:rFonts w:ascii="Arial" w:eastAsia="Arial" w:hAnsi="Arial" w:cs="Arial"/>
      <w:sz w:val="20"/>
      <w:szCs w:val="20"/>
      <w:lang w:bidi="en-US"/>
    </w:rPr>
  </w:style>
  <w:style w:type="character" w:customStyle="1" w:styleId="BodyTextChar">
    <w:name w:val="Body Text Char"/>
    <w:basedOn w:val="DefaultParagraphFont"/>
    <w:link w:val="BodyText"/>
    <w:uiPriority w:val="1"/>
    <w:rsid w:val="00537A7A"/>
    <w:rPr>
      <w:rFonts w:ascii="Arial" w:eastAsia="Arial" w:hAnsi="Arial" w:cs="Arial"/>
      <w:sz w:val="20"/>
      <w:szCs w:val="20"/>
      <w:lang w:bidi="en-US"/>
    </w:rPr>
  </w:style>
  <w:style w:type="character" w:customStyle="1" w:styleId="Heading1Char">
    <w:name w:val="Heading 1 Char"/>
    <w:basedOn w:val="DefaultParagraphFont"/>
    <w:link w:val="Heading1"/>
    <w:uiPriority w:val="9"/>
    <w:rsid w:val="00537A7A"/>
    <w:rPr>
      <w:rFonts w:asciiTheme="majorHAnsi" w:eastAsiaTheme="majorEastAsia" w:hAnsiTheme="majorHAnsi" w:cstheme="majorBidi"/>
      <w:color w:val="2F5496" w:themeColor="accent1" w:themeShade="BF"/>
      <w:sz w:val="32"/>
      <w:szCs w:val="32"/>
    </w:rPr>
  </w:style>
  <w:style w:type="paragraph" w:styleId="ListParagraph">
    <w:name w:val="List Paragraph"/>
    <w:basedOn w:val="Normal"/>
    <w:uiPriority w:val="34"/>
    <w:qFormat/>
    <w:rsid w:val="007C0023"/>
    <w:pPr>
      <w:widowControl w:val="0"/>
      <w:autoSpaceDE w:val="0"/>
      <w:autoSpaceDN w:val="0"/>
      <w:spacing w:after="0" w:line="240" w:lineRule="auto"/>
      <w:ind w:left="858" w:hanging="361"/>
    </w:pPr>
    <w:rPr>
      <w:rFonts w:ascii="Arial" w:eastAsia="Arial" w:hAnsi="Arial" w:cs="Arial"/>
      <w:lang w:bidi="en-US"/>
    </w:rPr>
  </w:style>
  <w:style w:type="character" w:customStyle="1" w:styleId="Heading3Char">
    <w:name w:val="Heading 3 Char"/>
    <w:basedOn w:val="DefaultParagraphFont"/>
    <w:link w:val="Heading3"/>
    <w:uiPriority w:val="9"/>
    <w:semiHidden/>
    <w:rsid w:val="000C674E"/>
    <w:rPr>
      <w:rFonts w:asciiTheme="majorHAnsi" w:eastAsiaTheme="majorEastAsia" w:hAnsiTheme="majorHAnsi" w:cstheme="majorBidi"/>
      <w:color w:val="1F3763" w:themeColor="accent1" w:themeShade="7F"/>
      <w:sz w:val="24"/>
      <w:szCs w:val="24"/>
    </w:rPr>
  </w:style>
  <w:style w:type="paragraph" w:styleId="NormalWeb">
    <w:name w:val="Normal (Web)"/>
    <w:basedOn w:val="Normal"/>
    <w:uiPriority w:val="99"/>
    <w:semiHidden/>
    <w:unhideWhenUsed/>
    <w:rsid w:val="000C674E"/>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0C674E"/>
    <w:rPr>
      <w:b/>
      <w:bCs/>
    </w:rPr>
  </w:style>
  <w:style w:type="character" w:styleId="Emphasis">
    <w:name w:val="Emphasis"/>
    <w:basedOn w:val="DefaultParagraphFont"/>
    <w:uiPriority w:val="20"/>
    <w:qFormat/>
    <w:rsid w:val="000C674E"/>
    <w:rPr>
      <w:i/>
      <w:iCs/>
    </w:rPr>
  </w:style>
  <w:style w:type="paragraph" w:styleId="Header">
    <w:name w:val="header"/>
    <w:basedOn w:val="Normal"/>
    <w:link w:val="HeaderChar"/>
    <w:uiPriority w:val="99"/>
    <w:unhideWhenUsed/>
    <w:rsid w:val="009612BE"/>
    <w:pPr>
      <w:tabs>
        <w:tab w:val="center" w:pos="4680"/>
        <w:tab w:val="right" w:pos="9360"/>
      </w:tabs>
      <w:spacing w:after="0" w:line="240" w:lineRule="auto"/>
    </w:pPr>
  </w:style>
  <w:style w:type="character" w:customStyle="1" w:styleId="HeaderChar">
    <w:name w:val="Header Char"/>
    <w:basedOn w:val="DefaultParagraphFont"/>
    <w:link w:val="Header"/>
    <w:uiPriority w:val="99"/>
    <w:rsid w:val="009612BE"/>
  </w:style>
  <w:style w:type="table" w:styleId="TableGrid">
    <w:name w:val="Table Grid"/>
    <w:basedOn w:val="TableNormal"/>
    <w:uiPriority w:val="39"/>
    <w:rsid w:val="009612B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9612BE"/>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0773320">
      <w:bodyDiv w:val="1"/>
      <w:marLeft w:val="0"/>
      <w:marRight w:val="0"/>
      <w:marTop w:val="0"/>
      <w:marBottom w:val="0"/>
      <w:divBdr>
        <w:top w:val="none" w:sz="0" w:space="0" w:color="auto"/>
        <w:left w:val="none" w:sz="0" w:space="0" w:color="auto"/>
        <w:bottom w:val="none" w:sz="0" w:space="0" w:color="auto"/>
        <w:right w:val="none" w:sz="0" w:space="0" w:color="auto"/>
      </w:divBdr>
    </w:div>
    <w:div w:id="161705193">
      <w:bodyDiv w:val="1"/>
      <w:marLeft w:val="0"/>
      <w:marRight w:val="0"/>
      <w:marTop w:val="0"/>
      <w:marBottom w:val="0"/>
      <w:divBdr>
        <w:top w:val="none" w:sz="0" w:space="0" w:color="auto"/>
        <w:left w:val="none" w:sz="0" w:space="0" w:color="auto"/>
        <w:bottom w:val="none" w:sz="0" w:space="0" w:color="auto"/>
        <w:right w:val="none" w:sz="0" w:space="0" w:color="auto"/>
      </w:divBdr>
    </w:div>
    <w:div w:id="1226722689">
      <w:bodyDiv w:val="1"/>
      <w:marLeft w:val="0"/>
      <w:marRight w:val="0"/>
      <w:marTop w:val="0"/>
      <w:marBottom w:val="0"/>
      <w:divBdr>
        <w:top w:val="none" w:sz="0" w:space="0" w:color="auto"/>
        <w:left w:val="none" w:sz="0" w:space="0" w:color="auto"/>
        <w:bottom w:val="none" w:sz="0" w:space="0" w:color="auto"/>
        <w:right w:val="none" w:sz="0" w:space="0" w:color="auto"/>
      </w:divBdr>
    </w:div>
    <w:div w:id="1496066586">
      <w:bodyDiv w:val="1"/>
      <w:marLeft w:val="0"/>
      <w:marRight w:val="0"/>
      <w:marTop w:val="0"/>
      <w:marBottom w:val="0"/>
      <w:divBdr>
        <w:top w:val="none" w:sz="0" w:space="0" w:color="auto"/>
        <w:left w:val="none" w:sz="0" w:space="0" w:color="auto"/>
        <w:bottom w:val="none" w:sz="0" w:space="0" w:color="auto"/>
        <w:right w:val="none" w:sz="0" w:space="0" w:color="auto"/>
      </w:divBdr>
    </w:div>
    <w:div w:id="1644576052">
      <w:bodyDiv w:val="1"/>
      <w:marLeft w:val="0"/>
      <w:marRight w:val="0"/>
      <w:marTop w:val="0"/>
      <w:marBottom w:val="0"/>
      <w:divBdr>
        <w:top w:val="none" w:sz="0" w:space="0" w:color="auto"/>
        <w:left w:val="none" w:sz="0" w:space="0" w:color="auto"/>
        <w:bottom w:val="none" w:sz="0" w:space="0" w:color="auto"/>
        <w:right w:val="none" w:sz="0" w:space="0" w:color="auto"/>
      </w:divBdr>
    </w:div>
    <w:div w:id="1840928228">
      <w:bodyDiv w:val="1"/>
      <w:marLeft w:val="0"/>
      <w:marRight w:val="0"/>
      <w:marTop w:val="0"/>
      <w:marBottom w:val="0"/>
      <w:divBdr>
        <w:top w:val="none" w:sz="0" w:space="0" w:color="auto"/>
        <w:left w:val="none" w:sz="0" w:space="0" w:color="auto"/>
        <w:bottom w:val="none" w:sz="0" w:space="0" w:color="auto"/>
        <w:right w:val="none" w:sz="0" w:space="0" w:color="auto"/>
      </w:divBdr>
    </w:div>
    <w:div w:id="2040813888">
      <w:bodyDiv w:val="1"/>
      <w:marLeft w:val="0"/>
      <w:marRight w:val="0"/>
      <w:marTop w:val="0"/>
      <w:marBottom w:val="0"/>
      <w:divBdr>
        <w:top w:val="none" w:sz="0" w:space="0" w:color="auto"/>
        <w:left w:val="none" w:sz="0" w:space="0" w:color="auto"/>
        <w:bottom w:val="none" w:sz="0" w:space="0" w:color="auto"/>
        <w:right w:val="none" w:sz="0" w:space="0" w:color="auto"/>
      </w:divBdr>
    </w:div>
    <w:div w:id="20937710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2.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SpaceCoastMLS.com" TargetMode="External"/><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69</TotalTime>
  <Pages>3</Pages>
  <Words>1493</Words>
  <Characters>7917</Characters>
  <Application>Microsoft Office Word</Application>
  <DocSecurity>0</DocSecurity>
  <Lines>129</Lines>
  <Paragraphs>57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9353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Lindsey Ruschak</dc:creator>
  <cp:keywords/>
  <dc:description/>
  <cp:lastModifiedBy>Lindsey Ruschak</cp:lastModifiedBy>
  <cp:revision>8</cp:revision>
  <dcterms:created xsi:type="dcterms:W3CDTF">2022-01-24T17:17:00Z</dcterms:created>
  <dcterms:modified xsi:type="dcterms:W3CDTF">2022-02-23T17:32:00Z</dcterms:modified>
</cp:coreProperties>
</file>