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9798" w14:textId="38B6ABA6" w:rsidR="000A66B2" w:rsidRDefault="000A66B2" w:rsidP="000A66B2">
      <w:pPr>
        <w:spacing w:after="0"/>
        <w:jc w:val="center"/>
        <w:rPr>
          <w:rFonts w:ascii="Times New Roman" w:hAnsi="Times New Roman" w:cs="Times New Roman"/>
        </w:rPr>
      </w:pPr>
      <w:r>
        <w:rPr>
          <w:rFonts w:ascii="Times New Roman" w:hAnsi="Times New Roman" w:cs="Times New Roman"/>
          <w:b/>
          <w:bCs/>
        </w:rPr>
        <w:t>ACEC Legislative Report</w:t>
      </w:r>
    </w:p>
    <w:p w14:paraId="4DFE284A" w14:textId="00E2E5B4" w:rsidR="000A66B2" w:rsidRDefault="000A66B2" w:rsidP="000A66B2">
      <w:pPr>
        <w:spacing w:after="0"/>
        <w:jc w:val="center"/>
        <w:rPr>
          <w:rFonts w:ascii="Times New Roman" w:hAnsi="Times New Roman" w:cs="Times New Roman"/>
          <w:u w:val="single"/>
        </w:rPr>
      </w:pPr>
      <w:r>
        <w:rPr>
          <w:rFonts w:ascii="Times New Roman" w:hAnsi="Times New Roman" w:cs="Times New Roman"/>
          <w:u w:val="single"/>
        </w:rPr>
        <w:t>Prepared June 8, 2023</w:t>
      </w:r>
    </w:p>
    <w:p w14:paraId="6E47A8F2" w14:textId="77777777" w:rsidR="000A66B2" w:rsidRDefault="000A66B2" w:rsidP="000A66B2">
      <w:pPr>
        <w:spacing w:after="0"/>
        <w:jc w:val="center"/>
        <w:rPr>
          <w:rFonts w:ascii="Times New Roman" w:hAnsi="Times New Roman" w:cs="Times New Roman"/>
          <w:u w:val="single"/>
        </w:rPr>
      </w:pPr>
    </w:p>
    <w:p w14:paraId="1FA67034" w14:textId="77777777" w:rsidR="000A66B2" w:rsidRDefault="000A66B2" w:rsidP="000A66B2">
      <w:pPr>
        <w:spacing w:after="0"/>
        <w:jc w:val="center"/>
        <w:rPr>
          <w:rFonts w:ascii="Times New Roman" w:hAnsi="Times New Roman" w:cs="Times New Roman"/>
          <w:u w:val="single"/>
        </w:rPr>
      </w:pPr>
    </w:p>
    <w:p w14:paraId="48A6E669" w14:textId="4FBCF88E" w:rsidR="000A66B2" w:rsidRDefault="000A66B2" w:rsidP="000A66B2">
      <w:pPr>
        <w:spacing w:after="0"/>
        <w:rPr>
          <w:rFonts w:ascii="Times New Roman" w:hAnsi="Times New Roman" w:cs="Times New Roman"/>
          <w:b/>
          <w:bCs/>
        </w:rPr>
      </w:pPr>
      <w:r>
        <w:rPr>
          <w:rFonts w:ascii="Times New Roman" w:hAnsi="Times New Roman" w:cs="Times New Roman"/>
          <w:b/>
          <w:bCs/>
          <w:u w:val="single"/>
        </w:rPr>
        <w:t>General Issues</w:t>
      </w:r>
      <w:r>
        <w:rPr>
          <w:rFonts w:ascii="Times New Roman" w:hAnsi="Times New Roman" w:cs="Times New Roman"/>
          <w:b/>
          <w:bCs/>
        </w:rPr>
        <w:t>:</w:t>
      </w:r>
    </w:p>
    <w:p w14:paraId="3D4530F1" w14:textId="22A3CC43" w:rsidR="000A66B2" w:rsidRDefault="000A66B2" w:rsidP="000A66B2">
      <w:pPr>
        <w:spacing w:after="0"/>
        <w:rPr>
          <w:rFonts w:ascii="Times New Roman" w:hAnsi="Times New Roman" w:cs="Times New Roman"/>
          <w:b/>
          <w:bCs/>
        </w:rPr>
      </w:pPr>
    </w:p>
    <w:p w14:paraId="2A1DAAF6" w14:textId="7F3AFD45" w:rsidR="000A66B2" w:rsidRPr="000A66B2" w:rsidRDefault="000A66B2" w:rsidP="000A66B2">
      <w:pPr>
        <w:pStyle w:val="ListParagraph"/>
        <w:numPr>
          <w:ilvl w:val="0"/>
          <w:numId w:val="2"/>
        </w:numPr>
        <w:spacing w:after="0"/>
        <w:rPr>
          <w:rFonts w:ascii="Times New Roman" w:hAnsi="Times New Roman" w:cs="Times New Roman"/>
          <w:b/>
          <w:bCs/>
        </w:rPr>
      </w:pPr>
      <w:r>
        <w:rPr>
          <w:rFonts w:ascii="Times New Roman" w:hAnsi="Times New Roman" w:cs="Times New Roman"/>
        </w:rPr>
        <w:t>The 1</w:t>
      </w:r>
      <w:r w:rsidRPr="000A66B2">
        <w:rPr>
          <w:rFonts w:ascii="Times New Roman" w:hAnsi="Times New Roman" w:cs="Times New Roman"/>
          <w:vertAlign w:val="superscript"/>
        </w:rPr>
        <w:t>st</w:t>
      </w:r>
      <w:r>
        <w:rPr>
          <w:rFonts w:ascii="Times New Roman" w:hAnsi="Times New Roman" w:cs="Times New Roman"/>
        </w:rPr>
        <w:t xml:space="preserve"> Session of the 33</w:t>
      </w:r>
      <w:r w:rsidRPr="000A66B2">
        <w:rPr>
          <w:rFonts w:ascii="Times New Roman" w:hAnsi="Times New Roman" w:cs="Times New Roman"/>
          <w:vertAlign w:val="superscript"/>
        </w:rPr>
        <w:t>rd</w:t>
      </w:r>
      <w:r>
        <w:rPr>
          <w:rFonts w:ascii="Times New Roman" w:hAnsi="Times New Roman" w:cs="Times New Roman"/>
        </w:rPr>
        <w:t xml:space="preserve"> Alaska State Legislature adjourned on the 121</w:t>
      </w:r>
      <w:r w:rsidRPr="000A66B2">
        <w:rPr>
          <w:rFonts w:ascii="Times New Roman" w:hAnsi="Times New Roman" w:cs="Times New Roman"/>
          <w:vertAlign w:val="superscript"/>
        </w:rPr>
        <w:t>st</w:t>
      </w:r>
      <w:r>
        <w:rPr>
          <w:rFonts w:ascii="Times New Roman" w:hAnsi="Times New Roman" w:cs="Times New Roman"/>
        </w:rPr>
        <w:t xml:space="preserve"> day but was unable to agree on the FY2024 budget prior to the adjournment deadline.  Governor Dunleavy issued a call for a Special Session beginning 10am the next day.</w:t>
      </w:r>
    </w:p>
    <w:p w14:paraId="1FE5B99C" w14:textId="77777777" w:rsidR="000A66B2" w:rsidRDefault="000A66B2" w:rsidP="000A66B2">
      <w:pPr>
        <w:spacing w:after="0"/>
        <w:rPr>
          <w:rFonts w:ascii="Times New Roman" w:hAnsi="Times New Roman" w:cs="Times New Roman"/>
          <w:b/>
          <w:bCs/>
        </w:rPr>
      </w:pPr>
    </w:p>
    <w:p w14:paraId="2AE7B796" w14:textId="610BBDDB" w:rsidR="000A66B2" w:rsidRPr="000A66B2" w:rsidRDefault="000A66B2" w:rsidP="000A66B2">
      <w:pPr>
        <w:pStyle w:val="ListParagraph"/>
        <w:numPr>
          <w:ilvl w:val="0"/>
          <w:numId w:val="2"/>
        </w:numPr>
        <w:spacing w:after="0"/>
        <w:rPr>
          <w:rFonts w:ascii="Times New Roman" w:hAnsi="Times New Roman" w:cs="Times New Roman"/>
          <w:b/>
          <w:bCs/>
        </w:rPr>
      </w:pPr>
      <w:r>
        <w:rPr>
          <w:rFonts w:ascii="Times New Roman" w:hAnsi="Times New Roman" w:cs="Times New Roman"/>
        </w:rPr>
        <w:t xml:space="preserve">Through hurried meetings throughout the day, leadership in both bodies were able to craft necessary agreements along with a rather short list of budget amendments and take final floor action to enact the changes, pass the budget and adjourn.  </w:t>
      </w:r>
    </w:p>
    <w:p w14:paraId="24342371" w14:textId="77777777" w:rsidR="000A66B2" w:rsidRDefault="000A66B2" w:rsidP="000A66B2">
      <w:pPr>
        <w:spacing w:after="0"/>
        <w:rPr>
          <w:rFonts w:ascii="Times New Roman" w:hAnsi="Times New Roman" w:cs="Times New Roman"/>
          <w:b/>
          <w:bCs/>
        </w:rPr>
      </w:pPr>
    </w:p>
    <w:p w14:paraId="53FD2748" w14:textId="1A5849CF" w:rsidR="000A66B2" w:rsidRPr="000A66B2" w:rsidRDefault="000A66B2" w:rsidP="000A66B2">
      <w:pPr>
        <w:pStyle w:val="ListParagraph"/>
        <w:numPr>
          <w:ilvl w:val="0"/>
          <w:numId w:val="2"/>
        </w:numPr>
        <w:spacing w:after="0"/>
        <w:rPr>
          <w:rFonts w:ascii="Times New Roman" w:hAnsi="Times New Roman" w:cs="Times New Roman"/>
          <w:b/>
          <w:bCs/>
        </w:rPr>
      </w:pPr>
      <w:r>
        <w:rPr>
          <w:rFonts w:ascii="Times New Roman" w:hAnsi="Times New Roman" w:cs="Times New Roman"/>
        </w:rPr>
        <w:t xml:space="preserve">The budget will be transmitted to the governor for his review and any veto action.  The state fiscal year begins July 1, 2024.  </w:t>
      </w:r>
    </w:p>
    <w:p w14:paraId="4F99B8F6" w14:textId="77777777" w:rsidR="000A66B2" w:rsidRDefault="000A66B2" w:rsidP="000A66B2">
      <w:pPr>
        <w:spacing w:after="0"/>
        <w:rPr>
          <w:rFonts w:ascii="Times New Roman" w:hAnsi="Times New Roman" w:cs="Times New Roman"/>
          <w:b/>
          <w:bCs/>
        </w:rPr>
      </w:pPr>
    </w:p>
    <w:p w14:paraId="7D97AD71" w14:textId="68169001" w:rsidR="000A66B2" w:rsidRPr="005E4BCE" w:rsidRDefault="000A66B2" w:rsidP="000A66B2">
      <w:pPr>
        <w:pStyle w:val="ListParagraph"/>
        <w:numPr>
          <w:ilvl w:val="0"/>
          <w:numId w:val="2"/>
        </w:numPr>
        <w:spacing w:after="0"/>
        <w:rPr>
          <w:rFonts w:ascii="Times New Roman" w:hAnsi="Times New Roman" w:cs="Times New Roman"/>
          <w:b/>
          <w:bCs/>
        </w:rPr>
      </w:pPr>
      <w:r>
        <w:rPr>
          <w:rFonts w:ascii="Times New Roman" w:hAnsi="Times New Roman" w:cs="Times New Roman"/>
        </w:rPr>
        <w:t xml:space="preserve">The operating, supplemental and capital budget is all within a single omnibus bill.  See link to HB39:  </w:t>
      </w:r>
      <w:hyperlink r:id="rId5" w:history="1">
        <w:r w:rsidR="005E4BCE" w:rsidRPr="00BA36D6">
          <w:rPr>
            <w:rStyle w:val="Hyperlink"/>
            <w:rFonts w:ascii="Times New Roman" w:hAnsi="Times New Roman" w:cs="Times New Roman"/>
          </w:rPr>
          <w:t>https://www.akleg.gov/PDF/33/Bills/HB0039Z.PDF</w:t>
        </w:r>
      </w:hyperlink>
      <w:r w:rsidR="005E4BCE">
        <w:rPr>
          <w:rFonts w:ascii="Times New Roman" w:hAnsi="Times New Roman" w:cs="Times New Roman"/>
        </w:rPr>
        <w:t xml:space="preserve"> </w:t>
      </w:r>
    </w:p>
    <w:p w14:paraId="0082DB5B" w14:textId="77777777" w:rsidR="005E4BCE" w:rsidRDefault="005E4BCE" w:rsidP="005E4BCE">
      <w:pPr>
        <w:spacing w:after="0"/>
        <w:rPr>
          <w:rFonts w:ascii="Times New Roman" w:hAnsi="Times New Roman" w:cs="Times New Roman"/>
          <w:b/>
          <w:bCs/>
        </w:rPr>
      </w:pPr>
    </w:p>
    <w:p w14:paraId="17ED1706" w14:textId="190B7EDE" w:rsidR="005E4BCE" w:rsidRPr="005E4BCE" w:rsidRDefault="005E4BCE" w:rsidP="005E4BCE">
      <w:pPr>
        <w:pStyle w:val="ListParagraph"/>
        <w:numPr>
          <w:ilvl w:val="0"/>
          <w:numId w:val="2"/>
        </w:numPr>
        <w:spacing w:after="0"/>
        <w:rPr>
          <w:rFonts w:ascii="Times New Roman" w:hAnsi="Times New Roman" w:cs="Times New Roman"/>
          <w:b/>
          <w:bCs/>
        </w:rPr>
      </w:pPr>
      <w:r>
        <w:rPr>
          <w:rFonts w:ascii="Times New Roman" w:hAnsi="Times New Roman" w:cs="Times New Roman"/>
        </w:rPr>
        <w:t xml:space="preserve">The budget is intended to balance within the Department of Revenue oil price forecast of $73/barrel for FY24 and does not require withdrawal from the Constitutional Budget Reserve Fund (CBRF).  The budget includes an appropriation for a $1,304.00 dividend ($881m in total).  The budget includes a </w:t>
      </w:r>
      <w:r>
        <w:rPr>
          <w:rFonts w:ascii="Times New Roman" w:hAnsi="Times New Roman" w:cs="Times New Roman"/>
          <w:i/>
          <w:iCs/>
        </w:rPr>
        <w:t>one-time</w:t>
      </w:r>
      <w:r>
        <w:rPr>
          <w:rFonts w:ascii="Times New Roman" w:hAnsi="Times New Roman" w:cs="Times New Roman"/>
        </w:rPr>
        <w:t xml:space="preserve"> appropriation of $174.8m for school districts.  The budget was amended by the Senate Finance Committee to include $30m for school major maintenance and $30m for university facilities deferred maintenance.</w:t>
      </w:r>
    </w:p>
    <w:p w14:paraId="50D8DDCF" w14:textId="77777777" w:rsidR="005E4BCE" w:rsidRDefault="005E4BCE" w:rsidP="005E4BCE">
      <w:pPr>
        <w:spacing w:after="0"/>
        <w:rPr>
          <w:rFonts w:ascii="Times New Roman" w:hAnsi="Times New Roman" w:cs="Times New Roman"/>
          <w:b/>
          <w:bCs/>
        </w:rPr>
      </w:pPr>
    </w:p>
    <w:p w14:paraId="56AC7E23" w14:textId="3C52C1E8" w:rsidR="005E4BCE" w:rsidRPr="005E4BCE" w:rsidRDefault="005E4BCE" w:rsidP="005E4BCE">
      <w:pPr>
        <w:pStyle w:val="ListParagraph"/>
        <w:numPr>
          <w:ilvl w:val="0"/>
          <w:numId w:val="2"/>
        </w:numPr>
        <w:spacing w:after="0"/>
        <w:rPr>
          <w:rFonts w:ascii="Times New Roman" w:hAnsi="Times New Roman" w:cs="Times New Roman"/>
          <w:b/>
          <w:bCs/>
        </w:rPr>
      </w:pPr>
      <w:r>
        <w:rPr>
          <w:rFonts w:ascii="Times New Roman" w:hAnsi="Times New Roman" w:cs="Times New Roman"/>
        </w:rPr>
        <w:t xml:space="preserve">Despite </w:t>
      </w:r>
      <w:r w:rsidR="00EC418E">
        <w:rPr>
          <w:rFonts w:ascii="Times New Roman" w:hAnsi="Times New Roman" w:cs="Times New Roman"/>
        </w:rPr>
        <w:t xml:space="preserve">numerous </w:t>
      </w:r>
      <w:r>
        <w:rPr>
          <w:rFonts w:ascii="Times New Roman" w:hAnsi="Times New Roman" w:cs="Times New Roman"/>
        </w:rPr>
        <w:t>attempts</w:t>
      </w:r>
      <w:r w:rsidR="00EC418E">
        <w:rPr>
          <w:rFonts w:ascii="Times New Roman" w:hAnsi="Times New Roman" w:cs="Times New Roman"/>
        </w:rPr>
        <w:t xml:space="preserve"> to amend</w:t>
      </w:r>
      <w:r>
        <w:rPr>
          <w:rFonts w:ascii="Times New Roman" w:hAnsi="Times New Roman" w:cs="Times New Roman"/>
        </w:rPr>
        <w:t xml:space="preserve">, the final budget does </w:t>
      </w:r>
      <w:r w:rsidRPr="00032E37">
        <w:rPr>
          <w:rFonts w:ascii="Times New Roman" w:hAnsi="Times New Roman" w:cs="Times New Roman"/>
          <w:b/>
          <w:bCs/>
          <w:i/>
          <w:iCs/>
        </w:rPr>
        <w:t>not</w:t>
      </w:r>
      <w:r>
        <w:rPr>
          <w:rFonts w:ascii="Times New Roman" w:hAnsi="Times New Roman" w:cs="Times New Roman"/>
        </w:rPr>
        <w:t xml:space="preserve"> provide funds for the Department of Environmental Conservation ($4.9m) to assume state primacy for EPA 404 permitting.  </w:t>
      </w:r>
      <w:r w:rsidR="00032E37">
        <w:rPr>
          <w:rFonts w:ascii="Times New Roman" w:hAnsi="Times New Roman" w:cs="Times New Roman"/>
        </w:rPr>
        <w:t>ACEC was asked about inclusion of funding during their visit to the capital earlier in the session.  Depending upon the state’s financial health next year, I would expect this issue to receive more intense lobbying.</w:t>
      </w:r>
    </w:p>
    <w:p w14:paraId="493D71BF" w14:textId="77777777" w:rsidR="005E4BCE" w:rsidRDefault="005E4BCE" w:rsidP="005E4BCE">
      <w:pPr>
        <w:spacing w:after="0"/>
        <w:rPr>
          <w:rFonts w:ascii="Times New Roman" w:hAnsi="Times New Roman" w:cs="Times New Roman"/>
          <w:b/>
          <w:bCs/>
        </w:rPr>
      </w:pPr>
    </w:p>
    <w:p w14:paraId="76085DDB" w14:textId="1C412184" w:rsidR="005E4BCE" w:rsidRDefault="005E4BCE" w:rsidP="005E4BCE">
      <w:pPr>
        <w:spacing w:after="0"/>
        <w:rPr>
          <w:rFonts w:ascii="Times New Roman" w:hAnsi="Times New Roman" w:cs="Times New Roman"/>
          <w:b/>
          <w:bCs/>
        </w:rPr>
      </w:pPr>
      <w:r>
        <w:rPr>
          <w:rFonts w:ascii="Times New Roman" w:hAnsi="Times New Roman" w:cs="Times New Roman"/>
          <w:b/>
          <w:bCs/>
          <w:u w:val="single"/>
        </w:rPr>
        <w:t>Legislation</w:t>
      </w:r>
      <w:r>
        <w:rPr>
          <w:rFonts w:ascii="Times New Roman" w:hAnsi="Times New Roman" w:cs="Times New Roman"/>
          <w:b/>
          <w:bCs/>
        </w:rPr>
        <w:t>:</w:t>
      </w:r>
    </w:p>
    <w:p w14:paraId="0EA9FA43" w14:textId="77777777" w:rsidR="00396A29" w:rsidRDefault="00396A29" w:rsidP="005E4BCE">
      <w:pPr>
        <w:spacing w:after="0"/>
        <w:rPr>
          <w:rFonts w:ascii="Times New Roman" w:hAnsi="Times New Roman" w:cs="Times New Roman"/>
          <w:b/>
          <w:bCs/>
        </w:rPr>
      </w:pPr>
    </w:p>
    <w:p w14:paraId="2C874892" w14:textId="77777777" w:rsidR="00062810" w:rsidRDefault="00396A29" w:rsidP="00D675D2">
      <w:pPr>
        <w:spacing w:after="0"/>
        <w:ind w:left="720"/>
        <w:rPr>
          <w:rFonts w:ascii="Times New Roman" w:hAnsi="Times New Roman" w:cs="Times New Roman"/>
        </w:rPr>
      </w:pPr>
      <w:r>
        <w:rPr>
          <w:rFonts w:ascii="Times New Roman" w:hAnsi="Times New Roman" w:cs="Times New Roman"/>
          <w:b/>
          <w:bCs/>
          <w:u w:val="single"/>
        </w:rPr>
        <w:t>HB85 – Temporary Licensure</w:t>
      </w:r>
      <w:r>
        <w:rPr>
          <w:rFonts w:ascii="Times New Roman" w:hAnsi="Times New Roman" w:cs="Times New Roman"/>
          <w:b/>
          <w:bCs/>
        </w:rPr>
        <w:t xml:space="preserve">.  </w:t>
      </w:r>
      <w:r>
        <w:rPr>
          <w:rFonts w:ascii="Times New Roman" w:hAnsi="Times New Roman" w:cs="Times New Roman"/>
        </w:rPr>
        <w:t>Legislation to streamline the application and process for temporary licensure in Alaska did not move through the entire process during the first session</w:t>
      </w:r>
      <w:r w:rsidR="00D675D2">
        <w:rPr>
          <w:rFonts w:ascii="Times New Roman" w:hAnsi="Times New Roman" w:cs="Times New Roman"/>
        </w:rPr>
        <w:t xml:space="preserve"> so expect the conversation to continue next year.  It is important to note that licenses under the BRAELS board are exempted from the legislation given the Alaska specific Arctic </w:t>
      </w:r>
      <w:proofErr w:type="gramStart"/>
      <w:r w:rsidR="00D675D2">
        <w:rPr>
          <w:rFonts w:ascii="Times New Roman" w:hAnsi="Times New Roman" w:cs="Times New Roman"/>
        </w:rPr>
        <w:t>coursework</w:t>
      </w:r>
      <w:proofErr w:type="gramEnd"/>
      <w:r w:rsidR="00D675D2">
        <w:rPr>
          <w:rFonts w:ascii="Times New Roman" w:hAnsi="Times New Roman" w:cs="Times New Roman"/>
        </w:rPr>
        <w:t xml:space="preserve"> </w:t>
      </w:r>
    </w:p>
    <w:p w14:paraId="5B5001E7" w14:textId="77008753" w:rsidR="00396A29" w:rsidRDefault="00062810" w:rsidP="00062810">
      <w:pPr>
        <w:spacing w:after="0"/>
        <w:ind w:firstLine="720"/>
        <w:rPr>
          <w:rFonts w:ascii="Times New Roman" w:hAnsi="Times New Roman" w:cs="Times New Roman"/>
        </w:rPr>
      </w:pPr>
      <w:r>
        <w:rPr>
          <w:rFonts w:ascii="Times New Roman" w:hAnsi="Times New Roman" w:cs="Times New Roman"/>
        </w:rPr>
        <w:t>r</w:t>
      </w:r>
      <w:r w:rsidR="00D675D2">
        <w:rPr>
          <w:rFonts w:ascii="Times New Roman" w:hAnsi="Times New Roman" w:cs="Times New Roman"/>
        </w:rPr>
        <w:t>equirements.</w:t>
      </w:r>
    </w:p>
    <w:p w14:paraId="4474F62B" w14:textId="77777777" w:rsidR="00062810" w:rsidRDefault="00062810" w:rsidP="00062810">
      <w:pPr>
        <w:spacing w:after="0"/>
        <w:ind w:firstLine="720"/>
        <w:rPr>
          <w:rFonts w:ascii="Times New Roman" w:hAnsi="Times New Roman" w:cs="Times New Roman"/>
        </w:rPr>
      </w:pPr>
    </w:p>
    <w:p w14:paraId="2B304B32" w14:textId="7D8E57B7" w:rsidR="005E4BCE" w:rsidRDefault="00062810" w:rsidP="00062810">
      <w:pPr>
        <w:spacing w:after="0"/>
        <w:ind w:left="720"/>
        <w:rPr>
          <w:rFonts w:ascii="Times New Roman" w:hAnsi="Times New Roman" w:cs="Times New Roman"/>
        </w:rPr>
      </w:pPr>
      <w:r>
        <w:rPr>
          <w:rFonts w:ascii="Times New Roman" w:hAnsi="Times New Roman" w:cs="Times New Roman"/>
          <w:b/>
          <w:bCs/>
          <w:u w:val="single"/>
        </w:rPr>
        <w:t>HB148 – AK Performance Scholarship</w:t>
      </w:r>
      <w:r>
        <w:rPr>
          <w:rFonts w:ascii="Times New Roman" w:hAnsi="Times New Roman" w:cs="Times New Roman"/>
          <w:b/>
          <w:bCs/>
        </w:rPr>
        <w:t>.</w:t>
      </w:r>
      <w:r>
        <w:rPr>
          <w:rFonts w:ascii="Times New Roman" w:hAnsi="Times New Roman" w:cs="Times New Roman"/>
        </w:rPr>
        <w:t xml:space="preserve">  Legislation to amend the AK Performance Scholarship program was generally well received throughout the committee process, however the bill did </w:t>
      </w:r>
      <w:r>
        <w:rPr>
          <w:rFonts w:ascii="Times New Roman" w:hAnsi="Times New Roman" w:cs="Times New Roman"/>
          <w:b/>
          <w:bCs/>
          <w:i/>
          <w:iCs/>
        </w:rPr>
        <w:t>not</w:t>
      </w:r>
      <w:r>
        <w:rPr>
          <w:rFonts w:ascii="Times New Roman" w:hAnsi="Times New Roman" w:cs="Times New Roman"/>
        </w:rPr>
        <w:t xml:space="preserve"> advance through final approval.  The conversation will continue next session.  The current program provides top high scholars with funding for university costs.  The pending legislation adjusts the award amounts, provides more certainty of funding, and expands the program to include post-secondary vocational education enrollment.</w:t>
      </w:r>
      <w:r>
        <w:rPr>
          <w:rFonts w:ascii="Times New Roman" w:hAnsi="Times New Roman" w:cs="Times New Roman"/>
        </w:rPr>
        <w:tab/>
        <w:t xml:space="preserve"> Retaining top talent in AK is a high </w:t>
      </w:r>
      <w:r>
        <w:rPr>
          <w:rFonts w:ascii="Times New Roman" w:hAnsi="Times New Roman" w:cs="Times New Roman"/>
        </w:rPr>
        <w:lastRenderedPageBreak/>
        <w:t>priority for the Pat Pitney, President of the University of Alaska, legislators, and Alaskan businesses.</w:t>
      </w:r>
    </w:p>
    <w:p w14:paraId="71E7305F" w14:textId="77777777" w:rsidR="00582796" w:rsidRDefault="00582796" w:rsidP="00062810">
      <w:pPr>
        <w:spacing w:after="0"/>
        <w:ind w:left="720"/>
        <w:rPr>
          <w:rFonts w:ascii="Times New Roman" w:hAnsi="Times New Roman" w:cs="Times New Roman"/>
        </w:rPr>
      </w:pPr>
    </w:p>
    <w:p w14:paraId="6B264305" w14:textId="53E3C819" w:rsidR="00582796" w:rsidRPr="00582796" w:rsidRDefault="00582796" w:rsidP="00062810">
      <w:pPr>
        <w:spacing w:after="0"/>
        <w:ind w:left="720"/>
        <w:rPr>
          <w:rFonts w:ascii="Times New Roman" w:hAnsi="Times New Roman" w:cs="Times New Roman"/>
        </w:rPr>
      </w:pPr>
      <w:r>
        <w:rPr>
          <w:rFonts w:ascii="Times New Roman" w:hAnsi="Times New Roman" w:cs="Times New Roman"/>
          <w:b/>
          <w:bCs/>
          <w:u w:val="single"/>
        </w:rPr>
        <w:t>SB48 – Carbon Credit Capture</w:t>
      </w:r>
      <w:r>
        <w:rPr>
          <w:rFonts w:ascii="Times New Roman" w:hAnsi="Times New Roman" w:cs="Times New Roman"/>
          <w:b/>
          <w:bCs/>
        </w:rPr>
        <w:t>.</w:t>
      </w:r>
      <w:r>
        <w:rPr>
          <w:rFonts w:ascii="Times New Roman" w:hAnsi="Times New Roman" w:cs="Times New Roman"/>
        </w:rPr>
        <w:t xml:space="preserve">  SB48 passed both the Senate and House and was signed into law by the governor during the Sustainable Energy conference held in </w:t>
      </w:r>
      <w:proofErr w:type="gramStart"/>
      <w:r>
        <w:rPr>
          <w:rFonts w:ascii="Times New Roman" w:hAnsi="Times New Roman" w:cs="Times New Roman"/>
        </w:rPr>
        <w:t>Anchorage</w:t>
      </w:r>
      <w:proofErr w:type="gramEnd"/>
      <w:r>
        <w:rPr>
          <w:rFonts w:ascii="Times New Roman" w:hAnsi="Times New Roman" w:cs="Times New Roman"/>
        </w:rPr>
        <w:t xml:space="preserve"> late May.  The bill begins the statutory process necessary for Alaska to enter the carbon credit market and place land in credit registry’s necessary for participation in the market exchange.  While the governor suggested that this emerging market could yield hundreds of millions of dollars in new revenue for Alaska, testimony during the committee process tempered that enthusiasm considerable with perhaps $8-$10m annual revenues a more likely near-term estimate.  Nevertheless, legislation is required in any event to begin the process and bring the state into the market.  Other carbon credit legislation is pending further review in the 2</w:t>
      </w:r>
      <w:r w:rsidRPr="00582796">
        <w:rPr>
          <w:rFonts w:ascii="Times New Roman" w:hAnsi="Times New Roman" w:cs="Times New Roman"/>
          <w:vertAlign w:val="superscript"/>
        </w:rPr>
        <w:t>nd</w:t>
      </w:r>
      <w:r>
        <w:rPr>
          <w:rFonts w:ascii="Times New Roman" w:hAnsi="Times New Roman" w:cs="Times New Roman"/>
        </w:rPr>
        <w:t xml:space="preserve"> session.</w:t>
      </w:r>
      <w:r w:rsidR="00737128">
        <w:rPr>
          <w:rFonts w:ascii="Times New Roman" w:hAnsi="Times New Roman" w:cs="Times New Roman"/>
        </w:rPr>
        <w:t xml:space="preserve">  See link to the bill:</w:t>
      </w:r>
      <w:r w:rsidR="001447B4">
        <w:rPr>
          <w:rFonts w:ascii="Times New Roman" w:hAnsi="Times New Roman" w:cs="Times New Roman"/>
        </w:rPr>
        <w:t xml:space="preserve">  </w:t>
      </w:r>
      <w:proofErr w:type="gramStart"/>
      <w:r w:rsidR="001447B4" w:rsidRPr="001447B4">
        <w:rPr>
          <w:rFonts w:ascii="Times New Roman" w:hAnsi="Times New Roman" w:cs="Times New Roman"/>
        </w:rPr>
        <w:t>https://www.akleg.gov/basis/Bill/Detail/33?Root=sb48</w:t>
      </w:r>
      <w:proofErr w:type="gramEnd"/>
    </w:p>
    <w:p w14:paraId="4BA66F4D" w14:textId="77777777" w:rsidR="00C8079F" w:rsidRDefault="00C8079F" w:rsidP="00062810">
      <w:pPr>
        <w:spacing w:after="0"/>
        <w:ind w:left="720"/>
        <w:rPr>
          <w:rFonts w:ascii="Times New Roman" w:hAnsi="Times New Roman" w:cs="Times New Roman"/>
        </w:rPr>
      </w:pPr>
    </w:p>
    <w:p w14:paraId="29936D24" w14:textId="4577931C" w:rsidR="00C8079F" w:rsidRPr="00C8079F" w:rsidRDefault="00C8079F" w:rsidP="00062810">
      <w:pPr>
        <w:spacing w:after="0"/>
        <w:ind w:left="720"/>
        <w:rPr>
          <w:rFonts w:ascii="Times New Roman" w:hAnsi="Times New Roman" w:cs="Times New Roman"/>
        </w:rPr>
      </w:pPr>
      <w:r>
        <w:rPr>
          <w:rFonts w:ascii="Times New Roman" w:hAnsi="Times New Roman" w:cs="Times New Roman"/>
          <w:b/>
          <w:bCs/>
          <w:u w:val="single"/>
        </w:rPr>
        <w:t>SB73 – Interior Designer Licensure</w:t>
      </w:r>
      <w:r>
        <w:rPr>
          <w:rFonts w:ascii="Times New Roman" w:hAnsi="Times New Roman" w:cs="Times New Roman"/>
          <w:b/>
          <w:bCs/>
        </w:rPr>
        <w:t xml:space="preserve">.  </w:t>
      </w:r>
      <w:r>
        <w:rPr>
          <w:rFonts w:ascii="Times New Roman" w:hAnsi="Times New Roman" w:cs="Times New Roman"/>
        </w:rPr>
        <w:t xml:space="preserve">SB73 proposes statutory changes to provide for the registration and licensure of </w:t>
      </w:r>
      <w:r w:rsidR="001143F1">
        <w:rPr>
          <w:rFonts w:ascii="Times New Roman" w:hAnsi="Times New Roman" w:cs="Times New Roman"/>
        </w:rPr>
        <w:t>interior designers related to commercial projects.  This legislation has received resistance from architect professionals, this session and throughout the 32</w:t>
      </w:r>
      <w:r w:rsidR="001143F1" w:rsidRPr="001143F1">
        <w:rPr>
          <w:rFonts w:ascii="Times New Roman" w:hAnsi="Times New Roman" w:cs="Times New Roman"/>
          <w:vertAlign w:val="superscript"/>
        </w:rPr>
        <w:t>nd</w:t>
      </w:r>
      <w:r w:rsidR="001143F1">
        <w:rPr>
          <w:rFonts w:ascii="Times New Roman" w:hAnsi="Times New Roman" w:cs="Times New Roman"/>
        </w:rPr>
        <w:t xml:space="preserve"> legislature (HB61).  There appears to be some consensus emerging on the matter, but the test will come during the 2</w:t>
      </w:r>
      <w:r w:rsidR="001143F1" w:rsidRPr="001143F1">
        <w:rPr>
          <w:rFonts w:ascii="Times New Roman" w:hAnsi="Times New Roman" w:cs="Times New Roman"/>
          <w:vertAlign w:val="superscript"/>
        </w:rPr>
        <w:t>nd</w:t>
      </w:r>
      <w:r w:rsidR="001143F1">
        <w:rPr>
          <w:rFonts w:ascii="Times New Roman" w:hAnsi="Times New Roman" w:cs="Times New Roman"/>
        </w:rPr>
        <w:t xml:space="preserve"> session if the bill is going to make it through the legislative process.  See link to the bill:</w:t>
      </w:r>
      <w:r w:rsidR="00AA2F10">
        <w:rPr>
          <w:rFonts w:ascii="Times New Roman" w:hAnsi="Times New Roman" w:cs="Times New Roman"/>
        </w:rPr>
        <w:t xml:space="preserve">  </w:t>
      </w:r>
      <w:hyperlink r:id="rId6" w:history="1">
        <w:r w:rsidR="00AA2F10" w:rsidRPr="00BA36D6">
          <w:rPr>
            <w:rStyle w:val="Hyperlink"/>
            <w:rFonts w:ascii="Times New Roman" w:hAnsi="Times New Roman" w:cs="Times New Roman"/>
          </w:rPr>
          <w:t>https://www.akleg.gov/basis/Bill/Detail/33?Root=sb73</w:t>
        </w:r>
      </w:hyperlink>
      <w:r w:rsidR="00AA2F10">
        <w:rPr>
          <w:rFonts w:ascii="Times New Roman" w:hAnsi="Times New Roman" w:cs="Times New Roman"/>
        </w:rPr>
        <w:t xml:space="preserve"> </w:t>
      </w:r>
    </w:p>
    <w:p w14:paraId="3B9BAD27" w14:textId="77777777" w:rsidR="00062810" w:rsidRDefault="00062810" w:rsidP="00062810">
      <w:pPr>
        <w:spacing w:after="0"/>
        <w:ind w:left="720"/>
        <w:rPr>
          <w:rFonts w:ascii="Times New Roman" w:hAnsi="Times New Roman" w:cs="Times New Roman"/>
          <w:b/>
          <w:bCs/>
        </w:rPr>
      </w:pPr>
    </w:p>
    <w:p w14:paraId="79890D07" w14:textId="431FCEC1" w:rsidR="005E4BCE" w:rsidRDefault="00032E37" w:rsidP="00032E37">
      <w:pPr>
        <w:spacing w:after="0"/>
        <w:ind w:left="720"/>
        <w:rPr>
          <w:rFonts w:ascii="Times New Roman" w:hAnsi="Times New Roman" w:cs="Times New Roman"/>
        </w:rPr>
      </w:pPr>
      <w:r w:rsidRPr="00032E37">
        <w:rPr>
          <w:rFonts w:ascii="Times New Roman" w:hAnsi="Times New Roman" w:cs="Times New Roman"/>
          <w:b/>
          <w:bCs/>
          <w:u w:val="single"/>
        </w:rPr>
        <w:t>SB126 – AELS Board</w:t>
      </w:r>
      <w:r>
        <w:rPr>
          <w:rFonts w:ascii="Times New Roman" w:hAnsi="Times New Roman" w:cs="Times New Roman"/>
          <w:b/>
          <w:bCs/>
        </w:rPr>
        <w:t xml:space="preserve">.  </w:t>
      </w:r>
      <w:r>
        <w:rPr>
          <w:rFonts w:ascii="Times New Roman" w:hAnsi="Times New Roman" w:cs="Times New Roman"/>
        </w:rPr>
        <w:t xml:space="preserve">SB126 was offered at the request of the BRAELS licensing board to update statute and make changes to board seat designations between mechanical and electrical engineer professions.  SB126 passed both bodies and will be sent to the governor for review and final signature.   See link to the bill sponsor sheet:  </w:t>
      </w:r>
      <w:hyperlink r:id="rId7" w:history="1">
        <w:r w:rsidRPr="00BA36D6">
          <w:rPr>
            <w:rStyle w:val="Hyperlink"/>
            <w:rFonts w:ascii="Times New Roman" w:hAnsi="Times New Roman" w:cs="Times New Roman"/>
          </w:rPr>
          <w:t>https://www.akleg.gov/basis/get_documents.asp?session=33&amp;docid=14577</w:t>
        </w:r>
      </w:hyperlink>
    </w:p>
    <w:p w14:paraId="67B3443F" w14:textId="77777777" w:rsidR="00062810" w:rsidRDefault="00062810" w:rsidP="00032E37">
      <w:pPr>
        <w:spacing w:after="0"/>
        <w:ind w:left="720"/>
        <w:rPr>
          <w:rFonts w:ascii="Times New Roman" w:hAnsi="Times New Roman" w:cs="Times New Roman"/>
        </w:rPr>
      </w:pPr>
    </w:p>
    <w:p w14:paraId="46CF6217" w14:textId="77777777" w:rsidR="00062810" w:rsidRDefault="00062810" w:rsidP="00032E37">
      <w:pPr>
        <w:spacing w:after="0"/>
        <w:ind w:left="720"/>
        <w:rPr>
          <w:rFonts w:ascii="Times New Roman" w:hAnsi="Times New Roman" w:cs="Times New Roman"/>
        </w:rPr>
      </w:pPr>
    </w:p>
    <w:p w14:paraId="606EF321" w14:textId="77777777" w:rsidR="00032E37" w:rsidRDefault="00032E37" w:rsidP="00032E37">
      <w:pPr>
        <w:spacing w:after="0"/>
        <w:ind w:left="720"/>
        <w:rPr>
          <w:rFonts w:ascii="Times New Roman" w:hAnsi="Times New Roman" w:cs="Times New Roman"/>
        </w:rPr>
      </w:pPr>
    </w:p>
    <w:p w14:paraId="6DD85F93" w14:textId="20D7849D" w:rsidR="00032E37" w:rsidRPr="00032E37" w:rsidRDefault="00032E37" w:rsidP="00032E37">
      <w:pPr>
        <w:spacing w:after="0"/>
        <w:ind w:left="720"/>
        <w:rPr>
          <w:rFonts w:ascii="Times New Roman" w:hAnsi="Times New Roman" w:cs="Times New Roman"/>
        </w:rPr>
      </w:pPr>
      <w:r>
        <w:rPr>
          <w:rFonts w:ascii="Times New Roman" w:hAnsi="Times New Roman" w:cs="Times New Roman"/>
        </w:rPr>
        <w:t xml:space="preserve"> </w:t>
      </w:r>
    </w:p>
    <w:sectPr w:rsidR="00032E37" w:rsidRPr="0003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2AE7"/>
    <w:multiLevelType w:val="hybridMultilevel"/>
    <w:tmpl w:val="4A5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E6F8B"/>
    <w:multiLevelType w:val="hybridMultilevel"/>
    <w:tmpl w:val="B430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497988">
    <w:abstractNumId w:val="0"/>
  </w:num>
  <w:num w:numId="2" w16cid:durableId="70360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B2"/>
    <w:rsid w:val="00032E37"/>
    <w:rsid w:val="00062810"/>
    <w:rsid w:val="00067CFA"/>
    <w:rsid w:val="000A66B2"/>
    <w:rsid w:val="001143F1"/>
    <w:rsid w:val="001447B4"/>
    <w:rsid w:val="00396A29"/>
    <w:rsid w:val="00582796"/>
    <w:rsid w:val="005E4BCE"/>
    <w:rsid w:val="00737128"/>
    <w:rsid w:val="00AA2F10"/>
    <w:rsid w:val="00C8079F"/>
    <w:rsid w:val="00D675D2"/>
    <w:rsid w:val="00EC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9FC4"/>
  <w15:chartTrackingRefBased/>
  <w15:docId w15:val="{FEE9D133-8168-4368-A7E3-5D4DBA59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6B2"/>
    <w:pPr>
      <w:ind w:left="720"/>
      <w:contextualSpacing/>
    </w:pPr>
  </w:style>
  <w:style w:type="character" w:styleId="Hyperlink">
    <w:name w:val="Hyperlink"/>
    <w:basedOn w:val="DefaultParagraphFont"/>
    <w:uiPriority w:val="99"/>
    <w:unhideWhenUsed/>
    <w:rsid w:val="005E4BCE"/>
    <w:rPr>
      <w:color w:val="0563C1" w:themeColor="hyperlink"/>
      <w:u w:val="single"/>
    </w:rPr>
  </w:style>
  <w:style w:type="character" w:styleId="UnresolvedMention">
    <w:name w:val="Unresolved Mention"/>
    <w:basedOn w:val="DefaultParagraphFont"/>
    <w:uiPriority w:val="99"/>
    <w:semiHidden/>
    <w:unhideWhenUsed/>
    <w:rsid w:val="005E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kleg.gov/basis/get_documents.asp?session=33&amp;docid=14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leg.gov/basis/Bill/Detail/33?Root=sb73" TargetMode="External"/><Relationship Id="rId5" Type="http://schemas.openxmlformats.org/officeDocument/2006/relationships/hyperlink" Target="https://www.akleg.gov/PDF/33/Bills/HB0039Z.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4161</Characters>
  <Application>Microsoft Office Word</Application>
  <DocSecurity>4</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Walsh</dc:creator>
  <cp:keywords/>
  <dc:description/>
  <cp:lastModifiedBy>Jennifer MacGillvray</cp:lastModifiedBy>
  <cp:revision>2</cp:revision>
  <dcterms:created xsi:type="dcterms:W3CDTF">2023-06-16T16:28:00Z</dcterms:created>
  <dcterms:modified xsi:type="dcterms:W3CDTF">2023-06-16T16:28:00Z</dcterms:modified>
</cp:coreProperties>
</file>