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6FEAF" w14:textId="77777777" w:rsidR="004364F6" w:rsidRPr="004364F6" w:rsidRDefault="004364F6" w:rsidP="004364F6">
      <w:pPr>
        <w:shd w:val="clear" w:color="auto" w:fill="FFFFFF"/>
        <w:spacing w:after="0" w:line="540" w:lineRule="atLeast"/>
        <w:outlineLvl w:val="0"/>
        <w:rPr>
          <w:rFonts w:ascii="Segoe UI" w:eastAsia="Times New Roman" w:hAnsi="Segoe UI" w:cs="Segoe UI"/>
          <w:b/>
          <w:bCs/>
          <w:color w:val="363737"/>
          <w:kern w:val="36"/>
          <w:sz w:val="48"/>
          <w:szCs w:val="48"/>
          <w14:ligatures w14:val="none"/>
        </w:rPr>
      </w:pPr>
      <w:r w:rsidRPr="004364F6">
        <w:rPr>
          <w:rFonts w:ascii="Segoe UI" w:eastAsia="Times New Roman" w:hAnsi="Segoe UI" w:cs="Segoe UI"/>
          <w:b/>
          <w:bCs/>
          <w:color w:val="363737"/>
          <w:kern w:val="36"/>
          <w:sz w:val="48"/>
          <w:szCs w:val="48"/>
          <w14:ligatures w14:val="none"/>
        </w:rPr>
        <w:fldChar w:fldCharType="begin"/>
      </w:r>
      <w:r w:rsidRPr="004364F6">
        <w:rPr>
          <w:rFonts w:ascii="Segoe UI" w:eastAsia="Times New Roman" w:hAnsi="Segoe UI" w:cs="Segoe UI"/>
          <w:b/>
          <w:bCs/>
          <w:color w:val="363737"/>
          <w:kern w:val="36"/>
          <w:sz w:val="48"/>
          <w:szCs w:val="48"/>
          <w14:ligatures w14:val="none"/>
        </w:rPr>
        <w:instrText>HYPERLINK "https://substack.com/app-link/post?publication_id=8182975&amp;post_id=202130821&amp;utm_source=post-email-title&amp;utm_campaign=email-post-title&amp;isFreemail=true&amp;r=58ocle&amp;token=eyJ1c2VyX2lkIjozMTY5MDM4NzQsInBvc3RfaWQiOjIwMjEzMDgyMSwiaWF0IjoxNzgxNzQ2MzA1LCJleHAiOjE3ODQzMzgzMDUsImlzcyI6InB1Yi04MTgyOTc1Iiwic3ViIjoicG9zdC1yZWFjdGlvbiJ9.FNkJEXsnS98RSpF1oBvIgxLdMnlOHXcCyk6OmqTOSkY" \t "_blank"</w:instrText>
      </w:r>
      <w:r w:rsidRPr="004364F6">
        <w:rPr>
          <w:rFonts w:ascii="Segoe UI" w:eastAsia="Times New Roman" w:hAnsi="Segoe UI" w:cs="Segoe UI"/>
          <w:b/>
          <w:bCs/>
          <w:color w:val="363737"/>
          <w:kern w:val="36"/>
          <w:sz w:val="48"/>
          <w:szCs w:val="48"/>
          <w14:ligatures w14:val="none"/>
        </w:rPr>
      </w:r>
      <w:r w:rsidRPr="004364F6">
        <w:rPr>
          <w:rFonts w:ascii="Segoe UI" w:eastAsia="Times New Roman" w:hAnsi="Segoe UI" w:cs="Segoe UI"/>
          <w:b/>
          <w:bCs/>
          <w:color w:val="363737"/>
          <w:kern w:val="36"/>
          <w:sz w:val="48"/>
          <w:szCs w:val="48"/>
          <w14:ligatures w14:val="none"/>
        </w:rPr>
        <w:fldChar w:fldCharType="separate"/>
      </w:r>
      <w:r w:rsidRPr="004364F6">
        <w:rPr>
          <w:rFonts w:ascii="Segoe UI" w:eastAsia="Times New Roman" w:hAnsi="Segoe UI" w:cs="Segoe UI"/>
          <w:b/>
          <w:bCs/>
          <w:color w:val="363737"/>
          <w:kern w:val="36"/>
          <w:sz w:val="48"/>
          <w:szCs w:val="48"/>
          <w14:ligatures w14:val="none"/>
        </w:rPr>
        <w:t>Two Machines, One Name</w:t>
      </w:r>
      <w:r w:rsidRPr="004364F6">
        <w:rPr>
          <w:rFonts w:ascii="Segoe UI" w:eastAsia="Times New Roman" w:hAnsi="Segoe UI" w:cs="Segoe UI"/>
          <w:b/>
          <w:bCs/>
          <w:color w:val="363737"/>
          <w:kern w:val="36"/>
          <w:sz w:val="48"/>
          <w:szCs w:val="48"/>
          <w14:ligatures w14:val="none"/>
        </w:rPr>
        <w:fldChar w:fldCharType="end"/>
      </w:r>
    </w:p>
    <w:p w14:paraId="17C57AD6" w14:textId="77777777" w:rsidR="004364F6" w:rsidRPr="004364F6" w:rsidRDefault="004364F6" w:rsidP="004364F6">
      <w:pPr>
        <w:shd w:val="clear" w:color="auto" w:fill="FFFFFF"/>
        <w:spacing w:before="180" w:after="0" w:line="360" w:lineRule="atLeast"/>
        <w:outlineLvl w:val="2"/>
        <w:rPr>
          <w:rFonts w:ascii="Segoe UI" w:eastAsia="Times New Roman" w:hAnsi="Segoe UI" w:cs="Segoe UI"/>
          <w:color w:val="777777"/>
          <w:kern w:val="0"/>
          <w:sz w:val="27"/>
          <w:szCs w:val="27"/>
          <w14:ligatures w14:val="none"/>
        </w:rPr>
      </w:pPr>
      <w:r w:rsidRPr="004364F6">
        <w:rPr>
          <w:rFonts w:ascii="Segoe UI" w:eastAsia="Times New Roman" w:hAnsi="Segoe UI" w:cs="Segoe UI"/>
          <w:color w:val="777777"/>
          <w:kern w:val="0"/>
          <w:sz w:val="27"/>
          <w:szCs w:val="27"/>
          <w14:ligatures w14:val="none"/>
        </w:rPr>
        <w:t xml:space="preserve">Distinguishing Conventional Data Centers </w:t>
      </w:r>
      <w:proofErr w:type="gramStart"/>
      <w:r w:rsidRPr="004364F6">
        <w:rPr>
          <w:rFonts w:ascii="Segoe UI" w:eastAsia="Times New Roman" w:hAnsi="Segoe UI" w:cs="Segoe UI"/>
          <w:color w:val="777777"/>
          <w:kern w:val="0"/>
          <w:sz w:val="27"/>
          <w:szCs w:val="27"/>
          <w14:ligatures w14:val="none"/>
        </w:rPr>
        <w:t>From</w:t>
      </w:r>
      <w:proofErr w:type="gramEnd"/>
      <w:r w:rsidRPr="004364F6">
        <w:rPr>
          <w:rFonts w:ascii="Segoe UI" w:eastAsia="Times New Roman" w:hAnsi="Segoe UI" w:cs="Segoe UI"/>
          <w:color w:val="777777"/>
          <w:kern w:val="0"/>
          <w:sz w:val="27"/>
          <w:szCs w:val="27"/>
          <w14:ligatures w14:val="none"/>
        </w:rPr>
        <w:t xml:space="preserve"> Hyperscale AI Facilities</w:t>
      </w:r>
    </w:p>
    <w:tbl>
      <w:tblPr>
        <w:tblW w:w="5000" w:type="pct"/>
        <w:tblCellSpacing w:w="0" w:type="dxa"/>
        <w:tblCellMar>
          <w:left w:w="0" w:type="dxa"/>
          <w:right w:w="0" w:type="dxa"/>
        </w:tblCellMar>
        <w:tblLook w:val="04A0" w:firstRow="1" w:lastRow="0" w:firstColumn="1" w:lastColumn="0" w:noHBand="0" w:noVBand="1"/>
      </w:tblPr>
      <w:tblGrid>
        <w:gridCol w:w="6357"/>
        <w:gridCol w:w="3003"/>
      </w:tblGrid>
      <w:tr w:rsidR="004364F6" w:rsidRPr="004364F6" w14:paraId="30F27C6A"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272"/>
            </w:tblGrid>
            <w:tr w:rsidR="004364F6" w:rsidRPr="004364F6" w14:paraId="512F7B03"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272"/>
                  </w:tblGrid>
                  <w:tr w:rsidR="004364F6" w:rsidRPr="004364F6" w14:paraId="19905E36" w14:textId="77777777">
                    <w:trPr>
                      <w:tblCellSpacing w:w="0" w:type="dxa"/>
                    </w:trPr>
                    <w:tc>
                      <w:tcPr>
                        <w:tcW w:w="0" w:type="auto"/>
                        <w:vAlign w:val="center"/>
                        <w:hideMark/>
                      </w:tcPr>
                      <w:p w14:paraId="0E060F94" w14:textId="77777777" w:rsidR="004364F6" w:rsidRPr="004364F6" w:rsidRDefault="004364F6" w:rsidP="004364F6">
                        <w:pPr>
                          <w:spacing w:after="0" w:line="300" w:lineRule="atLeast"/>
                          <w:rPr>
                            <w:rFonts w:ascii="Segoe UI" w:eastAsia="Times New Roman" w:hAnsi="Segoe UI" w:cs="Segoe UI"/>
                            <w:caps/>
                            <w:color w:val="363737"/>
                            <w:spacing w:val="3"/>
                            <w:kern w:val="0"/>
                            <w:sz w:val="17"/>
                            <w:szCs w:val="17"/>
                            <w14:ligatures w14:val="none"/>
                          </w:rPr>
                        </w:pPr>
                        <w:hyperlink r:id="rId4" w:tgtFrame="_blank" w:history="1">
                          <w:r w:rsidRPr="004364F6">
                            <w:rPr>
                              <w:rFonts w:ascii="Segoe UI" w:eastAsia="Times New Roman" w:hAnsi="Segoe UI" w:cs="Segoe UI"/>
                              <w:caps/>
                              <w:color w:val="363737"/>
                              <w:spacing w:val="3"/>
                              <w:kern w:val="0"/>
                              <w:sz w:val="17"/>
                              <w:szCs w:val="17"/>
                              <w14:ligatures w14:val="none"/>
                            </w:rPr>
                            <w:t>Colin Mellars</w:t>
                          </w:r>
                        </w:hyperlink>
                      </w:p>
                    </w:tc>
                  </w:tr>
                </w:tbl>
                <w:p w14:paraId="527AEEFE" w14:textId="77777777" w:rsidR="004364F6" w:rsidRPr="004364F6" w:rsidRDefault="004364F6" w:rsidP="004364F6">
                  <w:pPr>
                    <w:spacing w:after="0" w:line="240" w:lineRule="auto"/>
                    <w:rPr>
                      <w:rFonts w:ascii="Times New Roman" w:eastAsia="Times New Roman" w:hAnsi="Times New Roman" w:cs="Times New Roman"/>
                      <w:kern w:val="0"/>
                      <w14:ligatures w14:val="none"/>
                    </w:rPr>
                  </w:pPr>
                </w:p>
              </w:tc>
            </w:tr>
            <w:tr w:rsidR="004364F6" w:rsidRPr="004364F6" w14:paraId="0D5B76EC"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026"/>
                  </w:tblGrid>
                  <w:tr w:rsidR="004364F6" w:rsidRPr="004364F6" w14:paraId="795DEB63" w14:textId="77777777">
                    <w:trPr>
                      <w:tblCellSpacing w:w="0" w:type="dxa"/>
                    </w:trPr>
                    <w:tc>
                      <w:tcPr>
                        <w:tcW w:w="0" w:type="auto"/>
                        <w:vAlign w:val="center"/>
                        <w:hideMark/>
                      </w:tcPr>
                      <w:p w14:paraId="258EFBC8" w14:textId="77777777" w:rsidR="004364F6" w:rsidRPr="004364F6" w:rsidRDefault="004364F6" w:rsidP="004364F6">
                        <w:pPr>
                          <w:spacing w:after="0" w:line="300" w:lineRule="atLeast"/>
                          <w:rPr>
                            <w:rFonts w:ascii="Segoe UI" w:eastAsia="Times New Roman" w:hAnsi="Segoe UI" w:cs="Segoe UI"/>
                            <w:caps/>
                            <w:color w:val="777777"/>
                            <w:spacing w:val="3"/>
                            <w:kern w:val="0"/>
                            <w:sz w:val="17"/>
                            <w:szCs w:val="17"/>
                            <w14:ligatures w14:val="none"/>
                          </w:rPr>
                        </w:pPr>
                        <w:r w:rsidRPr="004364F6">
                          <w:rPr>
                            <w:rFonts w:ascii="Segoe UI" w:eastAsia="Times New Roman" w:hAnsi="Segoe UI" w:cs="Segoe UI"/>
                            <w:caps/>
                            <w:color w:val="777777"/>
                            <w:spacing w:val="3"/>
                            <w:kern w:val="0"/>
                            <w:sz w:val="17"/>
                            <w:szCs w:val="17"/>
                            <w14:ligatures w14:val="none"/>
                          </w:rPr>
                          <w:t>Jun 18</w:t>
                        </w:r>
                      </w:p>
                    </w:tc>
                  </w:tr>
                  <w:tr w:rsidR="004364F6" w:rsidRPr="004364F6" w14:paraId="50BE8B5D" w14:textId="77777777">
                    <w:trPr>
                      <w:tblCellSpacing w:w="0" w:type="dxa"/>
                    </w:trPr>
                    <w:tc>
                      <w:tcPr>
                        <w:tcW w:w="0" w:type="auto"/>
                        <w:vAlign w:val="center"/>
                      </w:tcPr>
                      <w:p w14:paraId="571D191B" w14:textId="77777777" w:rsidR="004364F6" w:rsidRPr="004364F6" w:rsidRDefault="004364F6" w:rsidP="004364F6">
                        <w:pPr>
                          <w:shd w:val="clear" w:color="auto" w:fill="FFFFFF"/>
                          <w:spacing w:after="300" w:line="390" w:lineRule="atLeast"/>
                          <w:jc w:val="center"/>
                          <w:rPr>
                            <w:rFonts w:ascii="Segoe UI" w:eastAsia="Times New Roman" w:hAnsi="Segoe UI" w:cs="Segoe UI"/>
                            <w:color w:val="363737"/>
                            <w:kern w:val="0"/>
                            <w14:ligatures w14:val="none"/>
                          </w:rPr>
                        </w:pPr>
                        <w:hyperlink r:id="rId5" w:history="1">
                          <w:r w:rsidRPr="004364F6">
                            <w:rPr>
                              <w:rStyle w:val="Hyperlink"/>
                              <w:rFonts w:ascii="Segoe UI" w:eastAsia="Times New Roman" w:hAnsi="Segoe UI" w:cs="Segoe UI"/>
                              <w:kern w:val="0"/>
                              <w14:ligatures w14:val="none"/>
                            </w:rPr>
                            <w:t>Subsc</w:t>
                          </w:r>
                          <w:r w:rsidRPr="004364F6">
                            <w:rPr>
                              <w:rStyle w:val="Hyperlink"/>
                              <w:rFonts w:ascii="Segoe UI" w:eastAsia="Times New Roman" w:hAnsi="Segoe UI" w:cs="Segoe UI"/>
                              <w:kern w:val="0"/>
                              <w14:ligatures w14:val="none"/>
                            </w:rPr>
                            <w:t>r</w:t>
                          </w:r>
                          <w:r w:rsidRPr="004364F6">
                            <w:rPr>
                              <w:rStyle w:val="Hyperlink"/>
                              <w:rFonts w:ascii="Segoe UI" w:eastAsia="Times New Roman" w:hAnsi="Segoe UI" w:cs="Segoe UI"/>
                              <w:kern w:val="0"/>
                              <w14:ligatures w14:val="none"/>
                            </w:rPr>
                            <w:t>ibe</w:t>
                          </w:r>
                        </w:hyperlink>
                      </w:p>
                      <w:p w14:paraId="6D4A26C7" w14:textId="7E4278B1" w:rsidR="004364F6" w:rsidRPr="004364F6" w:rsidRDefault="004364F6" w:rsidP="004364F6">
                        <w:pPr>
                          <w:spacing w:after="0" w:line="300" w:lineRule="atLeast"/>
                          <w:rPr>
                            <w:rFonts w:ascii="Segoe UI" w:eastAsia="Times New Roman" w:hAnsi="Segoe UI" w:cs="Segoe UI"/>
                            <w:caps/>
                            <w:color w:val="777777"/>
                            <w:spacing w:val="3"/>
                            <w:kern w:val="0"/>
                            <w:sz w:val="17"/>
                            <w:szCs w:val="17"/>
                            <w14:ligatures w14:val="none"/>
                          </w:rPr>
                        </w:pPr>
                      </w:p>
                    </w:tc>
                  </w:tr>
                </w:tbl>
                <w:p w14:paraId="231C3CF6" w14:textId="77777777" w:rsidR="004364F6" w:rsidRPr="004364F6" w:rsidRDefault="004364F6" w:rsidP="004364F6">
                  <w:pPr>
                    <w:spacing w:after="0" w:line="240" w:lineRule="auto"/>
                    <w:rPr>
                      <w:rFonts w:ascii="Times New Roman" w:eastAsia="Times New Roman" w:hAnsi="Times New Roman" w:cs="Times New Roman"/>
                      <w:kern w:val="0"/>
                      <w14:ligatures w14:val="none"/>
                    </w:rPr>
                  </w:pPr>
                </w:p>
              </w:tc>
            </w:tr>
          </w:tbl>
          <w:p w14:paraId="08EDEF24" w14:textId="77777777" w:rsidR="004364F6" w:rsidRPr="004364F6" w:rsidRDefault="004364F6" w:rsidP="004364F6">
            <w:pPr>
              <w:spacing w:after="0" w:line="240" w:lineRule="auto"/>
              <w:rPr>
                <w:rFonts w:ascii="Times New Roman" w:eastAsia="Times New Roman" w:hAnsi="Times New Roman" w:cs="Times New Roman"/>
                <w:kern w:val="0"/>
                <w14:ligatures w14:val="none"/>
              </w:rPr>
            </w:pPr>
          </w:p>
        </w:tc>
        <w:tc>
          <w:tcPr>
            <w:tcW w:w="0" w:type="auto"/>
            <w:vAlign w:val="center"/>
            <w:hideMark/>
          </w:tcPr>
          <w:tbl>
            <w:tblPr>
              <w:tblW w:w="0" w:type="auto"/>
              <w:jc w:val="right"/>
              <w:tblCellSpacing w:w="0" w:type="dxa"/>
              <w:tblCellMar>
                <w:left w:w="0" w:type="dxa"/>
                <w:right w:w="0" w:type="dxa"/>
              </w:tblCellMar>
              <w:tblLook w:val="04A0" w:firstRow="1" w:lastRow="0" w:firstColumn="1" w:lastColumn="0" w:noHBand="0" w:noVBand="1"/>
            </w:tblPr>
            <w:tblGrid>
              <w:gridCol w:w="601"/>
            </w:tblGrid>
            <w:tr w:rsidR="004364F6" w:rsidRPr="004364F6" w14:paraId="1B43D262" w14:textId="77777777">
              <w:trPr>
                <w:tblCellSpacing w:w="0" w:type="dxa"/>
                <w:jc w:val="right"/>
              </w:trPr>
              <w:tc>
                <w:tcPr>
                  <w:tcW w:w="0" w:type="auto"/>
                  <w:vAlign w:val="center"/>
                  <w:hideMark/>
                </w:tcPr>
                <w:p w14:paraId="2AFBDC6C" w14:textId="77777777" w:rsidR="004364F6" w:rsidRPr="004364F6" w:rsidRDefault="004364F6" w:rsidP="004364F6">
                  <w:pPr>
                    <w:spacing w:after="0" w:line="240" w:lineRule="auto"/>
                    <w:rPr>
                      <w:rFonts w:ascii="Times New Roman" w:eastAsia="Times New Roman" w:hAnsi="Times New Roman" w:cs="Times New Roman"/>
                      <w:kern w:val="0"/>
                      <w14:ligatures w14:val="none"/>
                    </w:rPr>
                  </w:pPr>
                  <w:r w:rsidRPr="004364F6">
                    <w:rPr>
                      <w:rFonts w:ascii="Times New Roman" w:eastAsia="Times New Roman" w:hAnsi="Times New Roman" w:cs="Times New Roman"/>
                      <w:noProof/>
                      <w:color w:val="1155CC"/>
                      <w:kern w:val="0"/>
                      <w14:ligatures w14:val="none"/>
                    </w:rPr>
                    <w:drawing>
                      <wp:inline distT="0" distB="0" distL="0" distR="0" wp14:anchorId="3D5F03D3" wp14:editId="357C54C6">
                        <wp:extent cx="381635" cy="381635"/>
                        <wp:effectExtent l="0" t="0" r="0" b="0"/>
                        <wp:docPr id="1" name="Picture 6" descr="The image depicts a vibrant, circular logo with a gradient of orange, yellow, and blue swirls.&#10;&#10;AI-generated content may be incorrect.">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The image depicts a vibrant, circular logo with a gradient of orange, yellow, and blue swirls.&#10;&#10;AI-generated content may be incorrect.">
                                  <a:hlinkClick r:id="rId4"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bl>
          <w:p w14:paraId="13EAC774" w14:textId="77777777" w:rsidR="004364F6" w:rsidRPr="004364F6" w:rsidRDefault="004364F6" w:rsidP="004364F6">
            <w:pPr>
              <w:spacing w:after="0" w:line="240" w:lineRule="auto"/>
              <w:jc w:val="right"/>
              <w:rPr>
                <w:rFonts w:ascii="Times New Roman" w:eastAsia="Times New Roman" w:hAnsi="Times New Roman" w:cs="Times New Roman"/>
                <w:kern w:val="0"/>
                <w14:ligatures w14:val="none"/>
              </w:rPr>
            </w:pPr>
          </w:p>
        </w:tc>
      </w:tr>
    </w:tbl>
    <w:p w14:paraId="619BCF17" w14:textId="77777777" w:rsidR="004364F6" w:rsidRPr="004364F6" w:rsidRDefault="004364F6" w:rsidP="004364F6">
      <w:pPr>
        <w:shd w:val="clear" w:color="auto" w:fill="FFFFFF"/>
        <w:spacing w:after="0" w:line="390" w:lineRule="atLeast"/>
        <w:rPr>
          <w:rFonts w:ascii="Arial" w:eastAsia="Times New Roman" w:hAnsi="Arial" w:cs="Arial"/>
          <w:vanish/>
          <w:color w:val="222222"/>
          <w:kern w:val="0"/>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4364F6" w:rsidRPr="004364F6" w14:paraId="7836C9E9" w14:textId="77777777">
        <w:trPr>
          <w:trHeight w:val="240"/>
          <w:tblCellSpacing w:w="0" w:type="dxa"/>
        </w:trPr>
        <w:tc>
          <w:tcPr>
            <w:tcW w:w="0" w:type="auto"/>
            <w:vAlign w:val="center"/>
            <w:hideMark/>
          </w:tcPr>
          <w:p w14:paraId="3164845E" w14:textId="77777777" w:rsidR="004364F6" w:rsidRPr="004364F6" w:rsidRDefault="004364F6" w:rsidP="004364F6">
            <w:pPr>
              <w:spacing w:after="0" w:line="0" w:lineRule="auto"/>
              <w:rPr>
                <w:rFonts w:ascii="Times New Roman" w:eastAsia="Times New Roman" w:hAnsi="Times New Roman" w:cs="Times New Roman"/>
                <w:kern w:val="0"/>
                <w:sz w:val="2"/>
                <w:szCs w:val="2"/>
                <w14:ligatures w14:val="none"/>
              </w:rPr>
            </w:pPr>
            <w:r w:rsidRPr="004364F6">
              <w:rPr>
                <w:rFonts w:ascii="Times New Roman" w:eastAsia="Times New Roman" w:hAnsi="Times New Roman" w:cs="Times New Roman"/>
                <w:kern w:val="0"/>
                <w:sz w:val="2"/>
                <w:szCs w:val="2"/>
                <w14:ligatures w14:val="none"/>
              </w:rPr>
              <w:t> </w:t>
            </w:r>
          </w:p>
        </w:tc>
      </w:tr>
      <w:tr w:rsidR="004364F6" w:rsidRPr="004364F6" w14:paraId="4568079A" w14:textId="7777777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6248"/>
              <w:gridCol w:w="3112"/>
            </w:tblGrid>
            <w:tr w:rsidR="004364F6" w:rsidRPr="004364F6" w14:paraId="1CE61E42"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570"/>
                    <w:gridCol w:w="120"/>
                    <w:gridCol w:w="570"/>
                    <w:gridCol w:w="120"/>
                    <w:gridCol w:w="570"/>
                    <w:gridCol w:w="120"/>
                    <w:gridCol w:w="570"/>
                  </w:tblGrid>
                  <w:tr w:rsidR="004364F6" w:rsidRPr="004364F6" w14:paraId="22AB5509" w14:textId="77777777">
                    <w:trPr>
                      <w:tblCellSpacing w:w="0" w:type="dxa"/>
                    </w:trPr>
                    <w:tc>
                      <w:tcPr>
                        <w:tcW w:w="0" w:type="auto"/>
                        <w:vAlign w:val="center"/>
                        <w:hideMark/>
                      </w:tcPr>
                      <w:tbl>
                        <w:tblPr>
                          <w:tblW w:w="570" w:type="dxa"/>
                          <w:tblCellSpacing w:w="0" w:type="dxa"/>
                          <w:tblCellMar>
                            <w:left w:w="0" w:type="dxa"/>
                            <w:right w:w="0" w:type="dxa"/>
                          </w:tblCellMar>
                          <w:tblLook w:val="04A0" w:firstRow="1" w:lastRow="0" w:firstColumn="1" w:lastColumn="0" w:noHBand="0" w:noVBand="1"/>
                        </w:tblPr>
                        <w:tblGrid>
                          <w:gridCol w:w="570"/>
                        </w:tblGrid>
                        <w:tr w:rsidR="004364F6" w:rsidRPr="004364F6" w14:paraId="624A65B7" w14:textId="77777777">
                          <w:trPr>
                            <w:tblCellSpacing w:w="0" w:type="dxa"/>
                          </w:trPr>
                          <w:tc>
                            <w:tcPr>
                              <w:tcW w:w="0" w:type="auto"/>
                              <w:vAlign w:val="center"/>
                              <w:hideMark/>
                            </w:tcPr>
                            <w:p w14:paraId="68ECDF96" w14:textId="77777777" w:rsidR="004364F6" w:rsidRPr="004364F6" w:rsidRDefault="004364F6" w:rsidP="004364F6">
                              <w:pPr>
                                <w:spacing w:after="0" w:line="240" w:lineRule="auto"/>
                                <w:jc w:val="center"/>
                                <w:rPr>
                                  <w:rFonts w:ascii="Times New Roman" w:eastAsia="Times New Roman" w:hAnsi="Times New Roman" w:cs="Times New Roman"/>
                                  <w:kern w:val="0"/>
                                  <w14:ligatures w14:val="none"/>
                                </w:rPr>
                              </w:pPr>
                              <w:r w:rsidRPr="004364F6">
                                <w:rPr>
                                  <w:rFonts w:ascii="Segoe UI" w:eastAsia="Times New Roman" w:hAnsi="Segoe UI" w:cs="Segoe UI"/>
                                  <w:caps/>
                                  <w:noProof/>
                                  <w:color w:val="777777"/>
                                  <w:kern w:val="0"/>
                                  <w:sz w:val="18"/>
                                  <w:szCs w:val="18"/>
                                  <w14:ligatures w14:val="none"/>
                                </w:rPr>
                                <w:drawing>
                                  <wp:inline distT="0" distB="0" distL="0" distR="0" wp14:anchorId="22769E20" wp14:editId="3B9CE541">
                                    <wp:extent cx="174625" cy="174625"/>
                                    <wp:effectExtent l="0" t="0" r="0" b="0"/>
                                    <wp:docPr id="2" name="Picture 5">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inline>
                                </w:drawing>
                              </w:r>
                            </w:p>
                          </w:tc>
                        </w:tr>
                      </w:tbl>
                      <w:p w14:paraId="5B2D10B8" w14:textId="77777777" w:rsidR="004364F6" w:rsidRPr="004364F6" w:rsidRDefault="004364F6" w:rsidP="004364F6">
                        <w:pPr>
                          <w:spacing w:after="0" w:line="240" w:lineRule="auto"/>
                          <w:rPr>
                            <w:rFonts w:ascii="Times New Roman" w:eastAsia="Times New Roman" w:hAnsi="Times New Roman" w:cs="Times New Roman"/>
                            <w:kern w:val="0"/>
                            <w14:ligatures w14:val="none"/>
                          </w:rPr>
                        </w:pPr>
                      </w:p>
                    </w:tc>
                    <w:tc>
                      <w:tcPr>
                        <w:tcW w:w="120" w:type="dxa"/>
                        <w:vAlign w:val="center"/>
                        <w:hideMark/>
                      </w:tcPr>
                      <w:p w14:paraId="6AE74A9E" w14:textId="77777777" w:rsidR="004364F6" w:rsidRPr="004364F6" w:rsidRDefault="004364F6" w:rsidP="004364F6">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tbl>
                        <w:tblPr>
                          <w:tblW w:w="570" w:type="dxa"/>
                          <w:tblCellSpacing w:w="0" w:type="dxa"/>
                          <w:tblCellMar>
                            <w:left w:w="0" w:type="dxa"/>
                            <w:right w:w="0" w:type="dxa"/>
                          </w:tblCellMar>
                          <w:tblLook w:val="04A0" w:firstRow="1" w:lastRow="0" w:firstColumn="1" w:lastColumn="0" w:noHBand="0" w:noVBand="1"/>
                        </w:tblPr>
                        <w:tblGrid>
                          <w:gridCol w:w="570"/>
                        </w:tblGrid>
                        <w:tr w:rsidR="004364F6" w:rsidRPr="004364F6" w14:paraId="4DEA54F0" w14:textId="77777777">
                          <w:trPr>
                            <w:tblCellSpacing w:w="0" w:type="dxa"/>
                          </w:trPr>
                          <w:tc>
                            <w:tcPr>
                              <w:tcW w:w="0" w:type="auto"/>
                              <w:vAlign w:val="center"/>
                              <w:hideMark/>
                            </w:tcPr>
                            <w:p w14:paraId="46267F31" w14:textId="77777777" w:rsidR="004364F6" w:rsidRPr="004364F6" w:rsidRDefault="004364F6" w:rsidP="004364F6">
                              <w:pPr>
                                <w:spacing w:after="0" w:line="240" w:lineRule="auto"/>
                                <w:jc w:val="center"/>
                                <w:rPr>
                                  <w:rFonts w:ascii="Times New Roman" w:eastAsia="Times New Roman" w:hAnsi="Times New Roman" w:cs="Times New Roman"/>
                                  <w:kern w:val="0"/>
                                  <w14:ligatures w14:val="none"/>
                                </w:rPr>
                              </w:pPr>
                              <w:r w:rsidRPr="004364F6">
                                <w:rPr>
                                  <w:rFonts w:ascii="Segoe UI" w:eastAsia="Times New Roman" w:hAnsi="Segoe UI" w:cs="Segoe UI"/>
                                  <w:caps/>
                                  <w:noProof/>
                                  <w:color w:val="777777"/>
                                  <w:kern w:val="0"/>
                                  <w:sz w:val="18"/>
                                  <w:szCs w:val="18"/>
                                  <w14:ligatures w14:val="none"/>
                                </w:rPr>
                                <w:drawing>
                                  <wp:inline distT="0" distB="0" distL="0" distR="0" wp14:anchorId="0D13B35D" wp14:editId="47D4B02E">
                                    <wp:extent cx="174625" cy="174625"/>
                                    <wp:effectExtent l="0" t="0" r="0" b="0"/>
                                    <wp:docPr id="3" name="Picture 4">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inline>
                                </w:drawing>
                              </w:r>
                            </w:p>
                          </w:tc>
                        </w:tr>
                      </w:tbl>
                      <w:p w14:paraId="31C968BC" w14:textId="77777777" w:rsidR="004364F6" w:rsidRPr="004364F6" w:rsidRDefault="004364F6" w:rsidP="004364F6">
                        <w:pPr>
                          <w:spacing w:after="0" w:line="240" w:lineRule="auto"/>
                          <w:rPr>
                            <w:rFonts w:ascii="Times New Roman" w:eastAsia="Times New Roman" w:hAnsi="Times New Roman" w:cs="Times New Roman"/>
                            <w:kern w:val="0"/>
                            <w14:ligatures w14:val="none"/>
                          </w:rPr>
                        </w:pPr>
                      </w:p>
                    </w:tc>
                    <w:tc>
                      <w:tcPr>
                        <w:tcW w:w="120" w:type="dxa"/>
                        <w:vAlign w:val="center"/>
                        <w:hideMark/>
                      </w:tcPr>
                      <w:p w14:paraId="16C3BD34" w14:textId="77777777" w:rsidR="004364F6" w:rsidRPr="004364F6" w:rsidRDefault="004364F6" w:rsidP="004364F6">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tbl>
                        <w:tblPr>
                          <w:tblW w:w="570" w:type="dxa"/>
                          <w:tblCellSpacing w:w="0" w:type="dxa"/>
                          <w:tblCellMar>
                            <w:left w:w="0" w:type="dxa"/>
                            <w:right w:w="0" w:type="dxa"/>
                          </w:tblCellMar>
                          <w:tblLook w:val="04A0" w:firstRow="1" w:lastRow="0" w:firstColumn="1" w:lastColumn="0" w:noHBand="0" w:noVBand="1"/>
                        </w:tblPr>
                        <w:tblGrid>
                          <w:gridCol w:w="570"/>
                        </w:tblGrid>
                        <w:tr w:rsidR="004364F6" w:rsidRPr="004364F6" w14:paraId="65B4C210" w14:textId="77777777">
                          <w:trPr>
                            <w:tblCellSpacing w:w="0" w:type="dxa"/>
                          </w:trPr>
                          <w:tc>
                            <w:tcPr>
                              <w:tcW w:w="0" w:type="auto"/>
                              <w:vAlign w:val="center"/>
                              <w:hideMark/>
                            </w:tcPr>
                            <w:p w14:paraId="6E3E439D" w14:textId="77777777" w:rsidR="004364F6" w:rsidRPr="004364F6" w:rsidRDefault="004364F6" w:rsidP="004364F6">
                              <w:pPr>
                                <w:spacing w:after="0" w:line="240" w:lineRule="auto"/>
                                <w:jc w:val="center"/>
                                <w:rPr>
                                  <w:rFonts w:ascii="Times New Roman" w:eastAsia="Times New Roman" w:hAnsi="Times New Roman" w:cs="Times New Roman"/>
                                  <w:kern w:val="0"/>
                                  <w14:ligatures w14:val="none"/>
                                </w:rPr>
                              </w:pPr>
                              <w:r w:rsidRPr="004364F6">
                                <w:rPr>
                                  <w:rFonts w:ascii="Segoe UI" w:eastAsia="Times New Roman" w:hAnsi="Segoe UI" w:cs="Segoe UI"/>
                                  <w:caps/>
                                  <w:noProof/>
                                  <w:color w:val="777777"/>
                                  <w:kern w:val="0"/>
                                  <w:sz w:val="18"/>
                                  <w:szCs w:val="18"/>
                                  <w14:ligatures w14:val="none"/>
                                </w:rPr>
                                <w:drawing>
                                  <wp:inline distT="0" distB="0" distL="0" distR="0" wp14:anchorId="4577B3CC" wp14:editId="1C395FD8">
                                    <wp:extent cx="174625" cy="174625"/>
                                    <wp:effectExtent l="0" t="0" r="0" b="0"/>
                                    <wp:docPr id="4" name="Picture 4">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inline>
                                </w:drawing>
                              </w:r>
                            </w:p>
                          </w:tc>
                        </w:tr>
                      </w:tbl>
                      <w:p w14:paraId="6285CC88" w14:textId="77777777" w:rsidR="004364F6" w:rsidRPr="004364F6" w:rsidRDefault="004364F6" w:rsidP="004364F6">
                        <w:pPr>
                          <w:spacing w:after="0" w:line="240" w:lineRule="auto"/>
                          <w:rPr>
                            <w:rFonts w:ascii="Times New Roman" w:eastAsia="Times New Roman" w:hAnsi="Times New Roman" w:cs="Times New Roman"/>
                            <w:kern w:val="0"/>
                            <w14:ligatures w14:val="none"/>
                          </w:rPr>
                        </w:pPr>
                      </w:p>
                    </w:tc>
                    <w:tc>
                      <w:tcPr>
                        <w:tcW w:w="120" w:type="dxa"/>
                        <w:vAlign w:val="center"/>
                        <w:hideMark/>
                      </w:tcPr>
                      <w:p w14:paraId="42046CC0" w14:textId="77777777" w:rsidR="004364F6" w:rsidRPr="004364F6" w:rsidRDefault="004364F6" w:rsidP="004364F6">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tbl>
                        <w:tblPr>
                          <w:tblW w:w="570" w:type="dxa"/>
                          <w:tblCellSpacing w:w="0" w:type="dxa"/>
                          <w:tblCellMar>
                            <w:left w:w="0" w:type="dxa"/>
                            <w:right w:w="0" w:type="dxa"/>
                          </w:tblCellMar>
                          <w:tblLook w:val="04A0" w:firstRow="1" w:lastRow="0" w:firstColumn="1" w:lastColumn="0" w:noHBand="0" w:noVBand="1"/>
                        </w:tblPr>
                        <w:tblGrid>
                          <w:gridCol w:w="570"/>
                        </w:tblGrid>
                        <w:tr w:rsidR="004364F6" w:rsidRPr="004364F6" w14:paraId="539846F5" w14:textId="77777777">
                          <w:trPr>
                            <w:tblCellSpacing w:w="0" w:type="dxa"/>
                          </w:trPr>
                          <w:tc>
                            <w:tcPr>
                              <w:tcW w:w="0" w:type="auto"/>
                              <w:vAlign w:val="center"/>
                              <w:hideMark/>
                            </w:tcPr>
                            <w:p w14:paraId="3ECCD871" w14:textId="77777777" w:rsidR="004364F6" w:rsidRPr="004364F6" w:rsidRDefault="004364F6" w:rsidP="004364F6">
                              <w:pPr>
                                <w:spacing w:after="0" w:line="240" w:lineRule="auto"/>
                                <w:jc w:val="center"/>
                                <w:rPr>
                                  <w:rFonts w:ascii="Times New Roman" w:eastAsia="Times New Roman" w:hAnsi="Times New Roman" w:cs="Times New Roman"/>
                                  <w:kern w:val="0"/>
                                  <w14:ligatures w14:val="none"/>
                                </w:rPr>
                              </w:pPr>
                              <w:r w:rsidRPr="004364F6">
                                <w:rPr>
                                  <w:rFonts w:ascii="Segoe UI" w:eastAsia="Times New Roman" w:hAnsi="Segoe UI" w:cs="Segoe UI"/>
                                  <w:caps/>
                                  <w:noProof/>
                                  <w:color w:val="777777"/>
                                  <w:kern w:val="0"/>
                                  <w:sz w:val="18"/>
                                  <w:szCs w:val="18"/>
                                  <w14:ligatures w14:val="none"/>
                                </w:rPr>
                                <w:drawing>
                                  <wp:inline distT="0" distB="0" distL="0" distR="0" wp14:anchorId="601EA6ED" wp14:editId="12F6BA8D">
                                    <wp:extent cx="174625" cy="174625"/>
                                    <wp:effectExtent l="0" t="0" r="0" b="0"/>
                                    <wp:docPr id="5" name="Picture 3">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inline>
                                </w:drawing>
                              </w:r>
                            </w:p>
                          </w:tc>
                        </w:tr>
                      </w:tbl>
                      <w:p w14:paraId="13E71207" w14:textId="77777777" w:rsidR="004364F6" w:rsidRPr="004364F6" w:rsidRDefault="004364F6" w:rsidP="004364F6">
                        <w:pPr>
                          <w:spacing w:after="0" w:line="240" w:lineRule="auto"/>
                          <w:rPr>
                            <w:rFonts w:ascii="Times New Roman" w:eastAsia="Times New Roman" w:hAnsi="Times New Roman" w:cs="Times New Roman"/>
                            <w:kern w:val="0"/>
                            <w14:ligatures w14:val="none"/>
                          </w:rPr>
                        </w:pPr>
                      </w:p>
                    </w:tc>
                  </w:tr>
                </w:tbl>
                <w:p w14:paraId="21EA007B" w14:textId="77777777" w:rsidR="004364F6" w:rsidRPr="004364F6" w:rsidRDefault="004364F6" w:rsidP="004364F6">
                  <w:pPr>
                    <w:spacing w:after="0" w:line="240" w:lineRule="auto"/>
                    <w:rPr>
                      <w:rFonts w:ascii="Times New Roman" w:eastAsia="Times New Roman" w:hAnsi="Times New Roman" w:cs="Times New Roman"/>
                      <w:kern w:val="0"/>
                      <w14:ligatures w14:val="none"/>
                    </w:rPr>
                  </w:pPr>
                </w:p>
              </w:tc>
              <w:tc>
                <w:tcPr>
                  <w:tcW w:w="0" w:type="auto"/>
                  <w:vAlign w:val="center"/>
                  <w:hideMark/>
                </w:tcPr>
                <w:tbl>
                  <w:tblPr>
                    <w:tblW w:w="0" w:type="auto"/>
                    <w:jc w:val="right"/>
                    <w:tblCellSpacing w:w="0" w:type="dxa"/>
                    <w:tblCellMar>
                      <w:left w:w="0" w:type="dxa"/>
                      <w:right w:w="0" w:type="dxa"/>
                    </w:tblCellMar>
                    <w:tblLook w:val="04A0" w:firstRow="1" w:lastRow="0" w:firstColumn="1" w:lastColumn="0" w:noHBand="0" w:noVBand="1"/>
                  </w:tblPr>
                  <w:tblGrid>
                    <w:gridCol w:w="1315"/>
                  </w:tblGrid>
                  <w:tr w:rsidR="004364F6" w:rsidRPr="004364F6" w14:paraId="583A692E" w14:textId="77777777">
                    <w:trPr>
                      <w:tblCellSpacing w:w="0" w:type="dxa"/>
                      <w:jc w:val="right"/>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315"/>
                        </w:tblGrid>
                        <w:tr w:rsidR="004364F6" w:rsidRPr="004364F6" w14:paraId="626F6B05" w14:textId="77777777">
                          <w:trPr>
                            <w:tblCellSpacing w:w="0" w:type="dxa"/>
                          </w:trPr>
                          <w:tc>
                            <w:tcPr>
                              <w:tcW w:w="0" w:type="auto"/>
                              <w:vAlign w:val="center"/>
                              <w:hideMark/>
                            </w:tcPr>
                            <w:p w14:paraId="292129BB" w14:textId="77777777" w:rsidR="004364F6" w:rsidRPr="004364F6" w:rsidRDefault="004364F6" w:rsidP="004364F6">
                              <w:pPr>
                                <w:spacing w:after="0" w:line="180" w:lineRule="atLeast"/>
                                <w:jc w:val="center"/>
                                <w:rPr>
                                  <w:rFonts w:ascii="Segoe UI" w:eastAsia="Times New Roman" w:hAnsi="Segoe UI" w:cs="Segoe UI"/>
                                  <w:caps/>
                                  <w:color w:val="777777"/>
                                  <w:kern w:val="0"/>
                                  <w:sz w:val="18"/>
                                  <w:szCs w:val="18"/>
                                  <w14:ligatures w14:val="none"/>
                                </w:rPr>
                              </w:pPr>
                              <w:r w:rsidRPr="004364F6">
                                <w:rPr>
                                  <w:rFonts w:ascii="Times New Roman" w:eastAsia="Times New Roman" w:hAnsi="Times New Roman" w:cs="Times New Roman"/>
                                  <w:kern w:val="0"/>
                                  <w14:ligatures w14:val="none"/>
                                </w:rPr>
                                <w:fldChar w:fldCharType="begin"/>
                              </w:r>
                              <w:r w:rsidRPr="004364F6">
                                <w:rPr>
                                  <w:rFonts w:ascii="Times New Roman" w:eastAsia="Times New Roman" w:hAnsi="Times New Roman" w:cs="Times New Roman"/>
                                  <w:kern w:val="0"/>
                                  <w14:ligatures w14:val="none"/>
                                </w:rPr>
                                <w:instrText>HYPERLINK "https://open.substack.com/pub/sonoranthinktank/p/two-machines-one-name?utm_source=email&amp;redirect=app-store&amp;utm_campaign=email-read-in-app" \t "_blank"</w:instrText>
                              </w:r>
                              <w:r w:rsidRPr="004364F6">
                                <w:rPr>
                                  <w:rFonts w:ascii="Times New Roman" w:eastAsia="Times New Roman" w:hAnsi="Times New Roman" w:cs="Times New Roman"/>
                                  <w:kern w:val="0"/>
                                  <w14:ligatures w14:val="none"/>
                                </w:rPr>
                              </w:r>
                              <w:r w:rsidRPr="004364F6">
                                <w:rPr>
                                  <w:rFonts w:ascii="Times New Roman" w:eastAsia="Times New Roman" w:hAnsi="Times New Roman" w:cs="Times New Roman"/>
                                  <w:kern w:val="0"/>
                                  <w14:ligatures w14:val="none"/>
                                </w:rPr>
                                <w:fldChar w:fldCharType="separate"/>
                              </w:r>
                            </w:p>
                            <w:p w14:paraId="784AA380" w14:textId="77777777" w:rsidR="004364F6" w:rsidRPr="004364F6" w:rsidRDefault="004364F6" w:rsidP="004364F6">
                              <w:pPr>
                                <w:spacing w:after="0" w:line="240" w:lineRule="auto"/>
                                <w:jc w:val="center"/>
                                <w:rPr>
                                  <w:rFonts w:ascii="Times New Roman" w:eastAsia="Times New Roman" w:hAnsi="Times New Roman" w:cs="Times New Roman"/>
                                  <w:kern w:val="0"/>
                                  <w14:ligatures w14:val="none"/>
                                </w:rPr>
                              </w:pPr>
                              <w:r w:rsidRPr="004364F6">
                                <w:rPr>
                                  <w:rFonts w:ascii="Segoe UI" w:eastAsia="Times New Roman" w:hAnsi="Segoe UI" w:cs="Segoe UI"/>
                                  <w:caps/>
                                  <w:color w:val="777777"/>
                                  <w:kern w:val="0"/>
                                  <w:sz w:val="18"/>
                                  <w:szCs w:val="18"/>
                                  <w14:ligatures w14:val="none"/>
                                </w:rPr>
                                <w:t>READ IN APP</w:t>
                              </w:r>
                              <w:r w:rsidRPr="004364F6">
                                <w:rPr>
                                  <w:rFonts w:ascii="Segoe UI" w:eastAsia="Times New Roman" w:hAnsi="Segoe UI" w:cs="Segoe UI"/>
                                  <w:caps/>
                                  <w:noProof/>
                                  <w:color w:val="777777"/>
                                  <w:kern w:val="0"/>
                                  <w:sz w:val="18"/>
                                  <w:szCs w:val="18"/>
                                  <w14:ligatures w14:val="none"/>
                                </w:rPr>
                                <w:drawing>
                                  <wp:inline distT="0" distB="0" distL="0" distR="0" wp14:anchorId="1E5F6EA5" wp14:editId="4E2464FD">
                                    <wp:extent cx="174625" cy="174625"/>
                                    <wp:effectExtent l="0" t="0" r="0" b="0"/>
                                    <wp:docPr id="6" name="Picture 2">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inline>
                                </w:drawing>
                              </w:r>
                              <w:r w:rsidRPr="004364F6">
                                <w:rPr>
                                  <w:rFonts w:ascii="Times New Roman" w:eastAsia="Times New Roman" w:hAnsi="Times New Roman" w:cs="Times New Roman"/>
                                  <w:kern w:val="0"/>
                                  <w14:ligatures w14:val="none"/>
                                </w:rPr>
                                <w:fldChar w:fldCharType="end"/>
                              </w:r>
                            </w:p>
                          </w:tc>
                        </w:tr>
                      </w:tbl>
                      <w:p w14:paraId="67699307" w14:textId="77777777" w:rsidR="004364F6" w:rsidRPr="004364F6" w:rsidRDefault="004364F6" w:rsidP="004364F6">
                        <w:pPr>
                          <w:spacing w:after="0" w:line="240" w:lineRule="auto"/>
                          <w:rPr>
                            <w:rFonts w:ascii="Times New Roman" w:eastAsia="Times New Roman" w:hAnsi="Times New Roman" w:cs="Times New Roman"/>
                            <w:kern w:val="0"/>
                            <w14:ligatures w14:val="none"/>
                          </w:rPr>
                        </w:pPr>
                      </w:p>
                    </w:tc>
                  </w:tr>
                </w:tbl>
                <w:p w14:paraId="53E1EA4B" w14:textId="77777777" w:rsidR="004364F6" w:rsidRPr="004364F6" w:rsidRDefault="004364F6" w:rsidP="004364F6">
                  <w:pPr>
                    <w:spacing w:after="0" w:line="240" w:lineRule="auto"/>
                    <w:jc w:val="right"/>
                    <w:rPr>
                      <w:rFonts w:ascii="Times New Roman" w:eastAsia="Times New Roman" w:hAnsi="Times New Roman" w:cs="Times New Roman"/>
                      <w:kern w:val="0"/>
                      <w14:ligatures w14:val="none"/>
                    </w:rPr>
                  </w:pPr>
                </w:p>
              </w:tc>
            </w:tr>
          </w:tbl>
          <w:p w14:paraId="432389BE" w14:textId="77777777" w:rsidR="004364F6" w:rsidRPr="004364F6" w:rsidRDefault="004364F6" w:rsidP="004364F6">
            <w:pPr>
              <w:spacing w:after="0" w:line="240" w:lineRule="auto"/>
              <w:rPr>
                <w:rFonts w:ascii="Times New Roman" w:eastAsia="Times New Roman" w:hAnsi="Times New Roman" w:cs="Times New Roman"/>
                <w:kern w:val="0"/>
                <w14:ligatures w14:val="none"/>
              </w:rPr>
            </w:pPr>
          </w:p>
        </w:tc>
      </w:tr>
      <w:tr w:rsidR="004364F6" w:rsidRPr="004364F6" w14:paraId="5360B01E" w14:textId="77777777">
        <w:trPr>
          <w:trHeight w:val="240"/>
          <w:tblCellSpacing w:w="0" w:type="dxa"/>
        </w:trPr>
        <w:tc>
          <w:tcPr>
            <w:tcW w:w="0" w:type="auto"/>
            <w:vAlign w:val="center"/>
            <w:hideMark/>
          </w:tcPr>
          <w:p w14:paraId="42F88705" w14:textId="77777777" w:rsidR="004364F6" w:rsidRPr="004364F6" w:rsidRDefault="004364F6" w:rsidP="004364F6">
            <w:pPr>
              <w:spacing w:after="0" w:line="0" w:lineRule="auto"/>
              <w:rPr>
                <w:rFonts w:ascii="Times New Roman" w:eastAsia="Times New Roman" w:hAnsi="Times New Roman" w:cs="Times New Roman"/>
                <w:kern w:val="0"/>
                <w:sz w:val="2"/>
                <w:szCs w:val="2"/>
                <w14:ligatures w14:val="none"/>
              </w:rPr>
            </w:pPr>
            <w:r w:rsidRPr="004364F6">
              <w:rPr>
                <w:rFonts w:ascii="Times New Roman" w:eastAsia="Times New Roman" w:hAnsi="Times New Roman" w:cs="Times New Roman"/>
                <w:kern w:val="0"/>
                <w:sz w:val="2"/>
                <w:szCs w:val="2"/>
                <w14:ligatures w14:val="none"/>
              </w:rPr>
              <w:t> </w:t>
            </w:r>
          </w:p>
        </w:tc>
      </w:tr>
    </w:tbl>
    <w:p w14:paraId="3F515EEB"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The infrastructure that built the internet, cloud software, and video streaming is not the same infrastructure now being proposed for large-scale artificial intelligence. The two are routinely described with a single word, “data center,” and that label is doing a great deal of quiet work in public debate. It implies continuity where the record shows a break. It implies that the facilities now being sited at hundreds of megawatts are simply more of what has always existed, and that the digital services people rely on have always depended on them. The public data does not support that reading.</w:t>
      </w:r>
    </w:p>
    <w:p w14:paraId="2FB3260E"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 xml:space="preserve">This analysis sets out what the government and peer-reviewed record </w:t>
      </w:r>
      <w:proofErr w:type="gramStart"/>
      <w:r w:rsidRPr="004364F6">
        <w:rPr>
          <w:rFonts w:ascii="Arial" w:eastAsia="Times New Roman" w:hAnsi="Arial" w:cs="Arial"/>
          <w:color w:val="363737"/>
          <w:kern w:val="0"/>
          <w14:ligatures w14:val="none"/>
        </w:rPr>
        <w:t>actually show</w:t>
      </w:r>
      <w:proofErr w:type="gramEnd"/>
      <w:r w:rsidRPr="004364F6">
        <w:rPr>
          <w:rFonts w:ascii="Arial" w:eastAsia="Times New Roman" w:hAnsi="Arial" w:cs="Arial"/>
          <w:color w:val="363737"/>
          <w:kern w:val="0"/>
          <w14:ligatures w14:val="none"/>
        </w:rPr>
        <w:t xml:space="preserve"> about the two categories: where they came from, how their energy and resource profiles differ, and why collapsing them into a single term obscures the questions that local governments are now being asked to decide.</w:t>
      </w:r>
    </w:p>
    <w:p w14:paraId="339B0B50" w14:textId="77777777" w:rsidR="004364F6" w:rsidRPr="004364F6" w:rsidRDefault="004364F6" w:rsidP="004364F6">
      <w:pPr>
        <w:shd w:val="clear" w:color="auto" w:fill="FFFFFF"/>
        <w:spacing w:before="240" w:after="150" w:line="278" w:lineRule="atLeast"/>
        <w:outlineLvl w:val="1"/>
        <w:rPr>
          <w:rFonts w:ascii="Segoe UI" w:eastAsia="Times New Roman" w:hAnsi="Segoe UI" w:cs="Segoe UI"/>
          <w:b/>
          <w:bCs/>
          <w:color w:val="363737"/>
          <w:kern w:val="0"/>
          <w:sz w:val="36"/>
          <w:szCs w:val="36"/>
          <w14:ligatures w14:val="none"/>
        </w:rPr>
      </w:pPr>
      <w:r w:rsidRPr="004364F6">
        <w:rPr>
          <w:rFonts w:ascii="Segoe UI" w:eastAsia="Times New Roman" w:hAnsi="Segoe UI" w:cs="Segoe UI"/>
          <w:b/>
          <w:bCs/>
          <w:color w:val="363737"/>
          <w:kern w:val="0"/>
          <w:sz w:val="36"/>
          <w:szCs w:val="36"/>
          <w14:ligatures w14:val="none"/>
        </w:rPr>
        <w:t>What the historical record shows</w:t>
      </w:r>
    </w:p>
    <w:p w14:paraId="5E0DC138"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For most of the last fifteen years, the dominant story in data center energy was decoupling: demand for digital services rose steeply while the electricity used to deliver it did not.</w:t>
      </w:r>
    </w:p>
    <w:p w14:paraId="50BA7448"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The clearest statement of this comes from a peer-reviewed analysis published in </w:t>
      </w:r>
      <w:proofErr w:type="gramStart"/>
      <w:r w:rsidRPr="004364F6">
        <w:rPr>
          <w:rFonts w:ascii="Arial" w:eastAsia="Times New Roman" w:hAnsi="Arial" w:cs="Arial"/>
          <w:i/>
          <w:iCs/>
          <w:color w:val="363737"/>
          <w:kern w:val="0"/>
          <w14:ligatures w14:val="none"/>
        </w:rPr>
        <w:t>Science</w:t>
      </w:r>
      <w:proofErr w:type="gramEnd"/>
      <w:r w:rsidRPr="004364F6">
        <w:rPr>
          <w:rFonts w:ascii="Arial" w:eastAsia="Times New Roman" w:hAnsi="Arial" w:cs="Arial"/>
          <w:color w:val="363737"/>
          <w:kern w:val="0"/>
          <w14:ligatures w14:val="none"/>
        </w:rPr>
        <w:t> in 2020. Examining global data center energy use between 2010 and 2018, the authors found that total energy use rose roughly 6 percent over the period, while the number of compute instances rose about 550 percent (</w:t>
      </w:r>
      <w:proofErr w:type="spellStart"/>
      <w:r w:rsidRPr="004364F6">
        <w:rPr>
          <w:rFonts w:ascii="Arial" w:eastAsia="Times New Roman" w:hAnsi="Arial" w:cs="Arial"/>
          <w:color w:val="363737"/>
          <w:kern w:val="0"/>
          <w14:ligatures w14:val="none"/>
        </w:rPr>
        <w:t>Masanet</w:t>
      </w:r>
      <w:proofErr w:type="spellEnd"/>
      <w:r w:rsidRPr="004364F6">
        <w:rPr>
          <w:rFonts w:ascii="Arial" w:eastAsia="Times New Roman" w:hAnsi="Arial" w:cs="Arial"/>
          <w:color w:val="363737"/>
          <w:kern w:val="0"/>
          <w14:ligatures w14:val="none"/>
        </w:rPr>
        <w:t xml:space="preserve"> et al., 2020). Energy used per unit of computing fell by roughly twenty percent per year. The services that </w:t>
      </w:r>
      <w:r w:rsidRPr="004364F6">
        <w:rPr>
          <w:rFonts w:ascii="Arial" w:eastAsia="Times New Roman" w:hAnsi="Arial" w:cs="Arial"/>
          <w:color w:val="363737"/>
          <w:kern w:val="0"/>
          <w14:ligatures w14:val="none"/>
        </w:rPr>
        <w:lastRenderedPageBreak/>
        <w:t>defined the consumer internet in that decade, including search, social platforms, software-as-a-service, and the migration of video to streaming, were delivered with a nearly flat energy footprint.</w:t>
      </w:r>
    </w:p>
    <w:p w14:paraId="1C0BE06D"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The United States picture, documented in the Department of Energy’s congressionally mandated report prepared by Lawrence Berkeley National Laboratory, tells the same story for the domestic fleet. National data center electricity use remained near 60 terawatt-hours from roughly 2010 through 2016, continuing a minimal growth trend (Shehabi et al., 2024). An earlier peer-reviewed study by overlapping authors framed this explicitly as the demand for services becoming decoupled from electricity use in the United States (Shehabi et al., 2018).</w:t>
      </w:r>
    </w:p>
    <w:p w14:paraId="0EAD6927"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The mechanism behind the decoupling was not magic. It was efficiency operating on several fronts at once: steady improvements in the energy efficiency of servers and storage, large gains in how fully each server was utilized through virtualization, and a structural shift of workloads out of small, inefficient in-house server rooms and into larger, better-engineered facilities. Those forces were strong enough to absorb an enormous increase in demand without a matching increase in power draw. This is the central fact that the single word “data center” tends to erase: the infrastructure that carried the internet through its highest-growth years did so without commanding large new blocks of electricity.</w:t>
      </w:r>
    </w:p>
    <w:p w14:paraId="2DA7AF72" w14:textId="77777777" w:rsidR="004364F6" w:rsidRPr="004364F6" w:rsidRDefault="004364F6" w:rsidP="004364F6">
      <w:pPr>
        <w:shd w:val="clear" w:color="auto" w:fill="FFFFFF"/>
        <w:spacing w:before="240" w:after="150" w:line="278" w:lineRule="atLeast"/>
        <w:outlineLvl w:val="1"/>
        <w:rPr>
          <w:rFonts w:ascii="Segoe UI" w:eastAsia="Times New Roman" w:hAnsi="Segoe UI" w:cs="Segoe UI"/>
          <w:b/>
          <w:bCs/>
          <w:color w:val="363737"/>
          <w:kern w:val="0"/>
          <w:sz w:val="36"/>
          <w:szCs w:val="36"/>
          <w14:ligatures w14:val="none"/>
        </w:rPr>
      </w:pPr>
      <w:r w:rsidRPr="004364F6">
        <w:rPr>
          <w:rFonts w:ascii="Segoe UI" w:eastAsia="Times New Roman" w:hAnsi="Segoe UI" w:cs="Segoe UI"/>
          <w:b/>
          <w:bCs/>
          <w:color w:val="363737"/>
          <w:kern w:val="0"/>
          <w:sz w:val="36"/>
          <w:szCs w:val="36"/>
          <w14:ligatures w14:val="none"/>
        </w:rPr>
        <w:t>What changed</w:t>
      </w:r>
    </w:p>
    <w:p w14:paraId="15027DAF"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The decoupling did not last, and the public record is precise about when it ended and why.</w:t>
      </w:r>
    </w:p>
    <w:p w14:paraId="1B9C712D"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The Berkeley Lab report identifies 2017 as the inflection point. In that year, the installed base of servers began to grow again, and graphics processing unit (GPU)- accelerated servers built for artificial intelligence became a large enough share of the data center stock that total national electricity use began to rise once more (Shehabi et al., 2024). By 2018, the United States fleet consumed about 76 terawatt-hours, roughly 1.9 percent of national electricity. By 2023, it reached about 176 terawatt-hours, roughly 4.4 percent.</w:t>
      </w:r>
    </w:p>
    <w:p w14:paraId="5BAE9394"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lastRenderedPageBreak/>
        <w:t>The rate of change matters as much as the level. The same report puts the compound annual growth rate of data center electricity at about seven percent from 2014 to 2018, then at about eighteen percent from 2018 to 2023, with a projected range of thirteen to twenty-seven percent through 2028 (Shehabi et al., 2024). On the report’s scenarios, national data center electricity use reaches somewhere between 325 and 580 terawatt-hours by 2028, equivalent to roughly 6.7 to 12 percent of total United States electricity. The Department of Energy summarized the trajectory plainly: data center load growth has roughly tripled over the past decade and is projected to double or triple again by 2028 (U.S. Department of Energy, 2024).</w:t>
      </w:r>
    </w:p>
    <w:p w14:paraId="53607280"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The report is direct about the cause. The recent rapid growth in accelerated servers, it states, is what drove total data center energy demand to more than double between 2017 and 2023. It also notes that 2018 energy use was higher than any scenario its 2016 predecessor had projected, because that earlier study did not anticipate the rise of AI-specialized hardware. In other words, the trend break was large enough to defeat the forecasts of the same expert group that had correctly described the preceding flat decade.</w:t>
      </w:r>
    </w:p>
    <w:p w14:paraId="36157B42" w14:textId="77777777" w:rsidR="004364F6" w:rsidRPr="004364F6" w:rsidRDefault="004364F6" w:rsidP="004364F6">
      <w:pPr>
        <w:shd w:val="clear" w:color="auto" w:fill="FFFFFF"/>
        <w:spacing w:before="240" w:after="150" w:line="278" w:lineRule="atLeast"/>
        <w:outlineLvl w:val="1"/>
        <w:rPr>
          <w:rFonts w:ascii="Segoe UI" w:eastAsia="Times New Roman" w:hAnsi="Segoe UI" w:cs="Segoe UI"/>
          <w:b/>
          <w:bCs/>
          <w:color w:val="363737"/>
          <w:kern w:val="0"/>
          <w:sz w:val="36"/>
          <w:szCs w:val="36"/>
          <w14:ligatures w14:val="none"/>
        </w:rPr>
      </w:pPr>
      <w:r w:rsidRPr="004364F6">
        <w:rPr>
          <w:rFonts w:ascii="Segoe UI" w:eastAsia="Times New Roman" w:hAnsi="Segoe UI" w:cs="Segoe UI"/>
          <w:b/>
          <w:bCs/>
          <w:color w:val="363737"/>
          <w:kern w:val="0"/>
          <w:sz w:val="36"/>
          <w:szCs w:val="36"/>
          <w14:ligatures w14:val="none"/>
        </w:rPr>
        <w:t>Two different machines for two different jobs</w:t>
      </w:r>
    </w:p>
    <w:p w14:paraId="712655E3"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The reason the two categories diverge so sharply is that they are built around different workloads, and those workloads impose different physics.</w:t>
      </w:r>
    </w:p>
    <w:p w14:paraId="66B9C72B"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The Berkeley Lab report draws a line in its taxonomy, dividing servers into two groups: conventional servers configured to run legacy data center workloads, and AI-specialized servers (Shehabi et al., 2024). Conventional workloads are the familiar ones: storing and retrieving data, serving web pages and applications, handling transactions, and distributing streaming video from caches near the user. These are demanding at the level of a large facility, but at the level of an individual rack, they have historically been modest, and air cooling has been sufficient to manage the heat.</w:t>
      </w:r>
    </w:p>
    <w:p w14:paraId="001AB76F"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 xml:space="preserve">AI-specialized workloads are different. Training and high-volume inference run on dense clusters of GPUs performing massive parallel computation. The report tracks AI servers by the number of GPUs they ship with, in configurations of two, four, and eight, and </w:t>
      </w:r>
      <w:r w:rsidRPr="004364F6">
        <w:rPr>
          <w:rFonts w:ascii="Arial" w:eastAsia="Times New Roman" w:hAnsi="Arial" w:cs="Arial"/>
          <w:color w:val="363737"/>
          <w:kern w:val="0"/>
          <w14:ligatures w14:val="none"/>
        </w:rPr>
        <w:lastRenderedPageBreak/>
        <w:t>notes the emergence of rack-scale systems packing far more, such as the 72-GPU configuration that vendors have announced (Shehabi et al., 2024). With individual accelerators rated in the hundreds of watts, a single eight-GPU server concentrates several kilowatts before networking and cooling overhead, and a rack filled with such servers concentrates power at a level that conventional facility designs were never built to handle. That concentration is why the industry is shifting from air cooling toward liquid and direct-to-chip cooling, a transition the Berkeley Lab scenarios explicitly account for as a variable in future demand.</w:t>
      </w:r>
    </w:p>
    <w:p w14:paraId="1BFBC5A3"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The practical consequence is that an AI facility and a conventional data center are not interchangeable buildings with different labels. They differ in power density per rack, in the electrical and cooling systems required to support that density, in the steadiness and magnitude of their grid draw, and in the timeline for replacing their hardware.</w:t>
      </w:r>
    </w:p>
    <w:p w14:paraId="24D9CD6B" w14:textId="77777777" w:rsidR="004364F6" w:rsidRPr="004364F6" w:rsidRDefault="004364F6" w:rsidP="004364F6">
      <w:pPr>
        <w:shd w:val="clear" w:color="auto" w:fill="FFFFFF"/>
        <w:spacing w:before="240" w:after="150" w:line="278" w:lineRule="atLeast"/>
        <w:outlineLvl w:val="1"/>
        <w:rPr>
          <w:rFonts w:ascii="Segoe UI" w:eastAsia="Times New Roman" w:hAnsi="Segoe UI" w:cs="Segoe UI"/>
          <w:b/>
          <w:bCs/>
          <w:color w:val="363737"/>
          <w:kern w:val="0"/>
          <w:sz w:val="36"/>
          <w:szCs w:val="36"/>
          <w14:ligatures w14:val="none"/>
        </w:rPr>
      </w:pPr>
      <w:r w:rsidRPr="004364F6">
        <w:rPr>
          <w:rFonts w:ascii="Segoe UI" w:eastAsia="Times New Roman" w:hAnsi="Segoe UI" w:cs="Segoe UI"/>
          <w:b/>
          <w:bCs/>
          <w:color w:val="363737"/>
          <w:kern w:val="0"/>
          <w:sz w:val="36"/>
          <w:szCs w:val="36"/>
          <w14:ligatures w14:val="none"/>
        </w:rPr>
        <w:t>Where each application space lives</w:t>
      </w:r>
    </w:p>
    <w:p w14:paraId="52AA4382"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This is the point most often lost in public discussion. The services people use every day, including streaming, cloud storage, email, video calls, and the web itself, are conventional-workload services. They were scaled through the decoupling decade on infrastructure whose energy footprint stayed nearly flat. They do not require hyperscale AI facilities to function, nor did they require them to reach the scale they occupy today.</w:t>
      </w:r>
    </w:p>
    <w:p w14:paraId="68ECB08F"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Hyperscale AI facilities occupy a separate and newer application space: the training and serving of large machine learning models. That space is real and growing quickly, but it is an addition to the digital economy rather than the foundation beneath the existing one. Treating the two as one continuous thing produces a specific error in reasoning: it lets the established necessity of the internet be rhetorically transferred onto a class of facilities that are recent, far more resource-intensive per site, and still expanding along an uncertain curve.</w:t>
      </w:r>
    </w:p>
    <w:p w14:paraId="5B3E5216" w14:textId="77777777" w:rsidR="004364F6" w:rsidRPr="004364F6" w:rsidRDefault="004364F6" w:rsidP="004364F6">
      <w:pPr>
        <w:shd w:val="clear" w:color="auto" w:fill="FFFFFF"/>
        <w:spacing w:before="240" w:after="150" w:line="278" w:lineRule="atLeast"/>
        <w:outlineLvl w:val="1"/>
        <w:rPr>
          <w:rFonts w:ascii="Segoe UI" w:eastAsia="Times New Roman" w:hAnsi="Segoe UI" w:cs="Segoe UI"/>
          <w:b/>
          <w:bCs/>
          <w:color w:val="363737"/>
          <w:kern w:val="0"/>
          <w:sz w:val="36"/>
          <w:szCs w:val="36"/>
          <w14:ligatures w14:val="none"/>
        </w:rPr>
      </w:pPr>
      <w:r w:rsidRPr="004364F6">
        <w:rPr>
          <w:rFonts w:ascii="Segoe UI" w:eastAsia="Times New Roman" w:hAnsi="Segoe UI" w:cs="Segoe UI"/>
          <w:b/>
          <w:bCs/>
          <w:color w:val="363737"/>
          <w:kern w:val="0"/>
          <w:sz w:val="36"/>
          <w:szCs w:val="36"/>
          <w14:ligatures w14:val="none"/>
        </w:rPr>
        <w:t xml:space="preserve">Why the distinction matters for local </w:t>
      </w:r>
      <w:proofErr w:type="gramStart"/>
      <w:r w:rsidRPr="004364F6">
        <w:rPr>
          <w:rFonts w:ascii="Segoe UI" w:eastAsia="Times New Roman" w:hAnsi="Segoe UI" w:cs="Segoe UI"/>
          <w:b/>
          <w:bCs/>
          <w:color w:val="363737"/>
          <w:kern w:val="0"/>
          <w:sz w:val="36"/>
          <w:szCs w:val="36"/>
          <w14:ligatures w14:val="none"/>
        </w:rPr>
        <w:t>governance</w:t>
      </w:r>
      <w:proofErr w:type="gramEnd"/>
    </w:p>
    <w:p w14:paraId="00E004AA"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The categories also carry different local footprints, which is where the distinction stops being academic.</w:t>
      </w:r>
    </w:p>
    <w:p w14:paraId="2D1FAC1A"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lastRenderedPageBreak/>
        <w:t>A peer-reviewed assessment of the United States fleet found that data centers consume water both directly, for cooling, and indirectly, through the power plants that supply their electricity (</w:t>
      </w:r>
      <w:proofErr w:type="spellStart"/>
      <w:r w:rsidRPr="004364F6">
        <w:rPr>
          <w:rFonts w:ascii="Arial" w:eastAsia="Times New Roman" w:hAnsi="Arial" w:cs="Arial"/>
          <w:color w:val="363737"/>
          <w:kern w:val="0"/>
          <w14:ligatures w14:val="none"/>
        </w:rPr>
        <w:t>Siddik</w:t>
      </w:r>
      <w:proofErr w:type="spellEnd"/>
      <w:r w:rsidRPr="004364F6">
        <w:rPr>
          <w:rFonts w:ascii="Arial" w:eastAsia="Times New Roman" w:hAnsi="Arial" w:cs="Arial"/>
          <w:color w:val="363737"/>
          <w:kern w:val="0"/>
          <w14:ligatures w14:val="none"/>
        </w:rPr>
        <w:t xml:space="preserve"> et al., 2021). The study estimated the total operational water footprint of United States data centers at roughly 5.13 × 10^8 cubic meters in 2018, drawing on water from about 90% of United States watersheds. About one-fifth of the direct water footprint came from watersheds under moderate to high water stress, and nearly half of the servers were at least partly powered by plants located in water-stressed regions. A notable share of cooling water is potable water drawn straight from municipal utilities, which is unusual for an industrial load of this size.</w:t>
      </w:r>
    </w:p>
    <w:p w14:paraId="331A19B8"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The 2021 study reports that computing workloads in hyperscale facilities were nearly six times as water-efficient per unit of computation as those in smaller in-house data centers, a result of better cooling and higher utilization (</w:t>
      </w:r>
      <w:proofErr w:type="spellStart"/>
      <w:r w:rsidRPr="004364F6">
        <w:rPr>
          <w:rFonts w:ascii="Arial" w:eastAsia="Times New Roman" w:hAnsi="Arial" w:cs="Arial"/>
          <w:color w:val="363737"/>
          <w:kern w:val="0"/>
          <w14:ligatures w14:val="none"/>
        </w:rPr>
        <w:t>Siddik</w:t>
      </w:r>
      <w:proofErr w:type="spellEnd"/>
      <w:r w:rsidRPr="004364F6">
        <w:rPr>
          <w:rFonts w:ascii="Arial" w:eastAsia="Times New Roman" w:hAnsi="Arial" w:cs="Arial"/>
          <w:color w:val="363737"/>
          <w:kern w:val="0"/>
          <w14:ligatures w14:val="none"/>
        </w:rPr>
        <w:t xml:space="preserve"> et al., 2021). Cooling efficiency itself varies substantially with climate and technology (Lei and </w:t>
      </w:r>
      <w:proofErr w:type="spellStart"/>
      <w:r w:rsidRPr="004364F6">
        <w:rPr>
          <w:rFonts w:ascii="Arial" w:eastAsia="Times New Roman" w:hAnsi="Arial" w:cs="Arial"/>
          <w:color w:val="363737"/>
          <w:kern w:val="0"/>
          <w14:ligatures w14:val="none"/>
        </w:rPr>
        <w:t>Masanet</w:t>
      </w:r>
      <w:proofErr w:type="spellEnd"/>
      <w:r w:rsidRPr="004364F6">
        <w:rPr>
          <w:rFonts w:ascii="Arial" w:eastAsia="Times New Roman" w:hAnsi="Arial" w:cs="Arial"/>
          <w:color w:val="363737"/>
          <w:kern w:val="0"/>
          <w14:ligatures w14:val="none"/>
        </w:rPr>
        <w:t xml:space="preserve">, 2022). Efficiency per workload and total resource draw are different measures, and a facility can improve the first while still representing a large, concentrated demand on the second. The relevant local questions concern absolute magnitude, </w:t>
      </w:r>
      <w:proofErr w:type="gramStart"/>
      <w:r w:rsidRPr="004364F6">
        <w:rPr>
          <w:rFonts w:ascii="Arial" w:eastAsia="Times New Roman" w:hAnsi="Arial" w:cs="Arial"/>
          <w:color w:val="363737"/>
          <w:kern w:val="0"/>
          <w14:ligatures w14:val="none"/>
        </w:rPr>
        <w:t>siting</w:t>
      </w:r>
      <w:proofErr w:type="gramEnd"/>
      <w:r w:rsidRPr="004364F6">
        <w:rPr>
          <w:rFonts w:ascii="Arial" w:eastAsia="Times New Roman" w:hAnsi="Arial" w:cs="Arial"/>
          <w:color w:val="363737"/>
          <w:kern w:val="0"/>
          <w14:ligatures w14:val="none"/>
        </w:rPr>
        <w:t>, the source of cooling water, and the steadiness of the grid load, not efficiency ratios alone.</w:t>
      </w:r>
    </w:p>
    <w:p w14:paraId="0B5976A2"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For a jurisdiction evaluating a proposal, then, the category of the facility is a material fact, not a labeling preference. A conventional colocation or cloud facility and a hyperscale AI training campus place different demands on the electrical grid, the water supply, and the land, and they sit at different points on the resource-intensity curve. An analysis that collapses them into a single term cannot distinguish a proposal resembling the flat-energy infrastructure of the 2010s from one resembling the steep-growth infrastructure of the 2020s.</w:t>
      </w:r>
    </w:p>
    <w:p w14:paraId="0228EB53" w14:textId="77777777" w:rsidR="004364F6" w:rsidRPr="004364F6" w:rsidRDefault="004364F6" w:rsidP="004364F6">
      <w:pPr>
        <w:shd w:val="clear" w:color="auto" w:fill="FFFFFF"/>
        <w:spacing w:before="240" w:after="150" w:line="278" w:lineRule="atLeast"/>
        <w:outlineLvl w:val="1"/>
        <w:rPr>
          <w:rFonts w:ascii="Segoe UI" w:eastAsia="Times New Roman" w:hAnsi="Segoe UI" w:cs="Segoe UI"/>
          <w:b/>
          <w:bCs/>
          <w:color w:val="363737"/>
          <w:kern w:val="0"/>
          <w:sz w:val="36"/>
          <w:szCs w:val="36"/>
          <w14:ligatures w14:val="none"/>
        </w:rPr>
      </w:pPr>
      <w:r w:rsidRPr="004364F6">
        <w:rPr>
          <w:rFonts w:ascii="Segoe UI" w:eastAsia="Times New Roman" w:hAnsi="Segoe UI" w:cs="Segoe UI"/>
          <w:b/>
          <w:bCs/>
          <w:color w:val="363737"/>
          <w:kern w:val="0"/>
          <w:sz w:val="36"/>
          <w:szCs w:val="36"/>
          <w14:ligatures w14:val="none"/>
        </w:rPr>
        <w:t xml:space="preserve">What remains </w:t>
      </w:r>
      <w:proofErr w:type="gramStart"/>
      <w:r w:rsidRPr="004364F6">
        <w:rPr>
          <w:rFonts w:ascii="Segoe UI" w:eastAsia="Times New Roman" w:hAnsi="Segoe UI" w:cs="Segoe UI"/>
          <w:b/>
          <w:bCs/>
          <w:color w:val="363737"/>
          <w:kern w:val="0"/>
          <w:sz w:val="36"/>
          <w:szCs w:val="36"/>
          <w14:ligatures w14:val="none"/>
        </w:rPr>
        <w:t>uncertain</w:t>
      </w:r>
      <w:proofErr w:type="gramEnd"/>
    </w:p>
    <w:p w14:paraId="76D88F66"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 xml:space="preserve">The record is clear on the </w:t>
      </w:r>
      <w:proofErr w:type="gramStart"/>
      <w:r w:rsidRPr="004364F6">
        <w:rPr>
          <w:rFonts w:ascii="Arial" w:eastAsia="Times New Roman" w:hAnsi="Arial" w:cs="Arial"/>
          <w:color w:val="363737"/>
          <w:kern w:val="0"/>
          <w14:ligatures w14:val="none"/>
        </w:rPr>
        <w:t>trend break</w:t>
      </w:r>
      <w:proofErr w:type="gramEnd"/>
      <w:r w:rsidRPr="004364F6">
        <w:rPr>
          <w:rFonts w:ascii="Arial" w:eastAsia="Times New Roman" w:hAnsi="Arial" w:cs="Arial"/>
          <w:color w:val="363737"/>
          <w:kern w:val="0"/>
          <w14:ligatures w14:val="none"/>
        </w:rPr>
        <w:t xml:space="preserve"> but candid about the limits of forecasting. The Berkeley Lab authors emphasize that current estimates rest on incomplete data because the sector discloses little, and that their forward projections are presented as a wide range for the same reason. The gap between the low and high 2028 scenarios, roughly 325 against 580 terawatt-hours, reflects genuine uncertainty about how many </w:t>
      </w:r>
      <w:r w:rsidRPr="004364F6">
        <w:rPr>
          <w:rFonts w:ascii="Arial" w:eastAsia="Times New Roman" w:hAnsi="Arial" w:cs="Arial"/>
          <w:color w:val="363737"/>
          <w:kern w:val="0"/>
          <w14:ligatures w14:val="none"/>
        </w:rPr>
        <w:lastRenderedPageBreak/>
        <w:t>accelerators ship, how hard they are run, and how efficiently the facilities housing them are cooled (Shehabi et al., 2024). Readers and decision-makers should treat any single point estimate of future demand with caution, including those at both the alarmed and the reassuring ends of the spectrum.</w:t>
      </w:r>
    </w:p>
    <w:p w14:paraId="6D02461C"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 xml:space="preserve">What is </w:t>
      </w:r>
      <w:proofErr w:type="gramStart"/>
      <w:r w:rsidRPr="004364F6">
        <w:rPr>
          <w:rFonts w:ascii="Arial" w:eastAsia="Times New Roman" w:hAnsi="Arial" w:cs="Arial"/>
          <w:color w:val="363737"/>
          <w:kern w:val="0"/>
          <w14:ligatures w14:val="none"/>
        </w:rPr>
        <w:t>not uncertain</w:t>
      </w:r>
      <w:proofErr w:type="gramEnd"/>
      <w:r w:rsidRPr="004364F6">
        <w:rPr>
          <w:rFonts w:ascii="Arial" w:eastAsia="Times New Roman" w:hAnsi="Arial" w:cs="Arial"/>
          <w:color w:val="363737"/>
          <w:kern w:val="0"/>
          <w14:ligatures w14:val="none"/>
        </w:rPr>
        <w:t xml:space="preserve"> is the structural distinction. Conventional data centers carried the internet and streaming through a decade in which their energy use barely moved. AI-specialized facilities broke that pattern beginning in 2017 and are the documented cause of the renewed and accelerating growth in data center power and water demand. The two belong to different application spaces and impose different physics. The single word that covers both is "convenient," but in analysis and policy, it conceals more than it reveals.</w:t>
      </w:r>
    </w:p>
    <w:p w14:paraId="0B4897B0" w14:textId="77777777" w:rsidR="004364F6" w:rsidRDefault="004364F6" w:rsidP="004364F6">
      <w:pPr>
        <w:shd w:val="clear" w:color="auto" w:fill="FFFFFF"/>
        <w:spacing w:after="300" w:line="390" w:lineRule="atLeast"/>
        <w:jc w:val="center"/>
        <w:rPr>
          <w:rFonts w:ascii="Segoe UI" w:eastAsia="Times New Roman" w:hAnsi="Segoe UI" w:cs="Segoe UI"/>
          <w:color w:val="363737"/>
          <w:kern w:val="0"/>
          <w14:ligatures w14:val="none"/>
        </w:rPr>
      </w:pPr>
      <w:r w:rsidRPr="004364F6">
        <w:rPr>
          <w:rFonts w:ascii="Segoe UI" w:eastAsia="Times New Roman" w:hAnsi="Segoe UI" w:cs="Segoe UI"/>
          <w:color w:val="363737"/>
          <w:kern w:val="0"/>
          <w14:ligatures w14:val="none"/>
        </w:rPr>
        <w:t>Thanks for reading Sonoran Think Tank! Subscribe for free to receive new posts and support my work.</w:t>
      </w:r>
    </w:p>
    <w:p w14:paraId="7458C83D" w14:textId="764D31F2" w:rsidR="004364F6" w:rsidRPr="004364F6" w:rsidRDefault="004364F6" w:rsidP="004364F6">
      <w:pPr>
        <w:shd w:val="clear" w:color="auto" w:fill="FFFFFF"/>
        <w:spacing w:after="300" w:line="390" w:lineRule="atLeast"/>
        <w:jc w:val="center"/>
        <w:rPr>
          <w:rFonts w:ascii="Segoe UI" w:eastAsia="Times New Roman" w:hAnsi="Segoe UI" w:cs="Segoe UI"/>
          <w:color w:val="363737"/>
          <w:kern w:val="0"/>
          <w14:ligatures w14:val="none"/>
        </w:rPr>
      </w:pPr>
      <w:hyperlink r:id="rId17" w:history="1">
        <w:r w:rsidRPr="004364F6">
          <w:rPr>
            <w:rStyle w:val="Hyperlink"/>
            <w:rFonts w:ascii="Segoe UI" w:eastAsia="Times New Roman" w:hAnsi="Segoe UI" w:cs="Segoe UI"/>
            <w:kern w:val="0"/>
            <w14:ligatures w14:val="none"/>
          </w:rPr>
          <w:t>Subscribe</w:t>
        </w:r>
      </w:hyperlink>
    </w:p>
    <w:p w14:paraId="5FFC3CCD" w14:textId="77777777" w:rsidR="004364F6" w:rsidRPr="004364F6" w:rsidRDefault="004364F6" w:rsidP="004364F6">
      <w:pPr>
        <w:shd w:val="clear" w:color="auto" w:fill="FFFFFF"/>
        <w:spacing w:before="480" w:after="480" w:line="390" w:lineRule="atLeast"/>
        <w:rPr>
          <w:rFonts w:ascii="Arial" w:eastAsia="Times New Roman" w:hAnsi="Arial" w:cs="Arial"/>
          <w:color w:val="222222"/>
          <w:kern w:val="0"/>
          <w14:ligatures w14:val="none"/>
        </w:rPr>
      </w:pPr>
      <w:r w:rsidRPr="004364F6">
        <w:rPr>
          <w:rFonts w:ascii="Arial" w:eastAsia="Times New Roman" w:hAnsi="Arial" w:cs="Arial"/>
          <w:color w:val="222222"/>
          <w:kern w:val="0"/>
          <w14:ligatures w14:val="none"/>
        </w:rPr>
        <w:pict w14:anchorId="585910D1">
          <v:rect id="_x0000_i1025" style="width:0;height:.75pt" o:hralign="center" o:hrstd="t" o:hr="t" fillcolor="#a0a0a0" stroked="f"/>
        </w:pict>
      </w:r>
    </w:p>
    <w:p w14:paraId="6AB56FFE" w14:textId="77777777" w:rsidR="004364F6" w:rsidRPr="004364F6" w:rsidRDefault="004364F6" w:rsidP="004364F6">
      <w:pPr>
        <w:shd w:val="clear" w:color="auto" w:fill="FFFFFF"/>
        <w:spacing w:before="240" w:after="150" w:line="278" w:lineRule="atLeast"/>
        <w:outlineLvl w:val="1"/>
        <w:rPr>
          <w:rFonts w:ascii="Segoe UI" w:eastAsia="Times New Roman" w:hAnsi="Segoe UI" w:cs="Segoe UI"/>
          <w:b/>
          <w:bCs/>
          <w:color w:val="363737"/>
          <w:kern w:val="0"/>
          <w:sz w:val="36"/>
          <w:szCs w:val="36"/>
          <w14:ligatures w14:val="none"/>
        </w:rPr>
      </w:pPr>
      <w:r w:rsidRPr="004364F6">
        <w:rPr>
          <w:rFonts w:ascii="Segoe UI" w:eastAsia="Times New Roman" w:hAnsi="Segoe UI" w:cs="Segoe UI"/>
          <w:b/>
          <w:bCs/>
          <w:color w:val="363737"/>
          <w:kern w:val="0"/>
          <w:sz w:val="36"/>
          <w:szCs w:val="36"/>
          <w14:ligatures w14:val="none"/>
        </w:rPr>
        <w:t>References</w:t>
      </w:r>
    </w:p>
    <w:p w14:paraId="4D965637"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U.S. Department of Energy. (2024). </w:t>
      </w:r>
      <w:r w:rsidRPr="004364F6">
        <w:rPr>
          <w:rFonts w:ascii="Arial" w:eastAsia="Times New Roman" w:hAnsi="Arial" w:cs="Arial"/>
          <w:i/>
          <w:iCs/>
          <w:color w:val="363737"/>
          <w:kern w:val="0"/>
          <w14:ligatures w14:val="none"/>
        </w:rPr>
        <w:t>DOE Releases New Report Evaluating Increase in Electricity Demand from Data Centers.</w:t>
      </w:r>
      <w:r w:rsidRPr="004364F6">
        <w:rPr>
          <w:rFonts w:ascii="Arial" w:eastAsia="Times New Roman" w:hAnsi="Arial" w:cs="Arial"/>
          <w:color w:val="363737"/>
          <w:kern w:val="0"/>
          <w14:ligatures w14:val="none"/>
        </w:rPr>
        <w:t> Office of Energy Efficiency and Renewable Energy. </w:t>
      </w:r>
      <w:hyperlink r:id="rId18" w:tgtFrame="_blank" w:history="1">
        <w:r w:rsidRPr="004364F6">
          <w:rPr>
            <w:rFonts w:ascii="Arial" w:eastAsia="Times New Roman" w:hAnsi="Arial" w:cs="Arial"/>
            <w:color w:val="363737"/>
            <w:kern w:val="0"/>
            <w:u w:val="single"/>
            <w14:ligatures w14:val="none"/>
          </w:rPr>
          <w:t>https://www.energy.gov/articles/doe-releases-new-report-evaluating-increase-electricity-demand-data-centers</w:t>
        </w:r>
      </w:hyperlink>
    </w:p>
    <w:p w14:paraId="1B7647E3"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 xml:space="preserve">Lei, N., and </w:t>
      </w:r>
      <w:proofErr w:type="spellStart"/>
      <w:r w:rsidRPr="004364F6">
        <w:rPr>
          <w:rFonts w:ascii="Arial" w:eastAsia="Times New Roman" w:hAnsi="Arial" w:cs="Arial"/>
          <w:color w:val="363737"/>
          <w:kern w:val="0"/>
          <w14:ligatures w14:val="none"/>
        </w:rPr>
        <w:t>Masanet</w:t>
      </w:r>
      <w:proofErr w:type="spellEnd"/>
      <w:r w:rsidRPr="004364F6">
        <w:rPr>
          <w:rFonts w:ascii="Arial" w:eastAsia="Times New Roman" w:hAnsi="Arial" w:cs="Arial"/>
          <w:color w:val="363737"/>
          <w:kern w:val="0"/>
          <w14:ligatures w14:val="none"/>
        </w:rPr>
        <w:t>, E. (2022). Climate- and technology-specific PUE and WUE estimations for U.S. data centers using a hybrid statistical and thermodynamics-based approach. </w:t>
      </w:r>
      <w:r w:rsidRPr="004364F6">
        <w:rPr>
          <w:rFonts w:ascii="Arial" w:eastAsia="Times New Roman" w:hAnsi="Arial" w:cs="Arial"/>
          <w:i/>
          <w:iCs/>
          <w:color w:val="363737"/>
          <w:kern w:val="0"/>
          <w14:ligatures w14:val="none"/>
        </w:rPr>
        <w:t>Resources, Conservation and Recycling</w:t>
      </w:r>
      <w:r w:rsidRPr="004364F6">
        <w:rPr>
          <w:rFonts w:ascii="Arial" w:eastAsia="Times New Roman" w:hAnsi="Arial" w:cs="Arial"/>
          <w:color w:val="363737"/>
          <w:kern w:val="0"/>
          <w14:ligatures w14:val="none"/>
        </w:rPr>
        <w:t>, 182, 106323. </w:t>
      </w:r>
      <w:hyperlink r:id="rId19" w:tgtFrame="_blank" w:history="1">
        <w:r w:rsidRPr="004364F6">
          <w:rPr>
            <w:rFonts w:ascii="Arial" w:eastAsia="Times New Roman" w:hAnsi="Arial" w:cs="Arial"/>
            <w:color w:val="363737"/>
            <w:kern w:val="0"/>
            <w:u w:val="single"/>
            <w14:ligatures w14:val="none"/>
          </w:rPr>
          <w:t>https://doi.org/10.1016/j.resconrec.2022.106323</w:t>
        </w:r>
      </w:hyperlink>
    </w:p>
    <w:p w14:paraId="23B08304"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proofErr w:type="spellStart"/>
      <w:r w:rsidRPr="004364F6">
        <w:rPr>
          <w:rFonts w:ascii="Arial" w:eastAsia="Times New Roman" w:hAnsi="Arial" w:cs="Arial"/>
          <w:color w:val="363737"/>
          <w:kern w:val="0"/>
          <w14:ligatures w14:val="none"/>
        </w:rPr>
        <w:lastRenderedPageBreak/>
        <w:t>Masanet</w:t>
      </w:r>
      <w:proofErr w:type="spellEnd"/>
      <w:r w:rsidRPr="004364F6">
        <w:rPr>
          <w:rFonts w:ascii="Arial" w:eastAsia="Times New Roman" w:hAnsi="Arial" w:cs="Arial"/>
          <w:color w:val="363737"/>
          <w:kern w:val="0"/>
          <w14:ligatures w14:val="none"/>
        </w:rPr>
        <w:t>, E., Shehabi, A., Lei, N., Smith, S., and Koomey, J. (2020). Recalibrating global data center energy-use estimates. </w:t>
      </w:r>
      <w:r w:rsidRPr="004364F6">
        <w:rPr>
          <w:rFonts w:ascii="Arial" w:eastAsia="Times New Roman" w:hAnsi="Arial" w:cs="Arial"/>
          <w:i/>
          <w:iCs/>
          <w:color w:val="363737"/>
          <w:kern w:val="0"/>
          <w14:ligatures w14:val="none"/>
        </w:rPr>
        <w:t>Science</w:t>
      </w:r>
      <w:r w:rsidRPr="004364F6">
        <w:rPr>
          <w:rFonts w:ascii="Arial" w:eastAsia="Times New Roman" w:hAnsi="Arial" w:cs="Arial"/>
          <w:color w:val="363737"/>
          <w:kern w:val="0"/>
          <w14:ligatures w14:val="none"/>
        </w:rPr>
        <w:t>, 367(6481), 984 to 986. </w:t>
      </w:r>
      <w:hyperlink r:id="rId20" w:tgtFrame="_blank" w:history="1">
        <w:r w:rsidRPr="004364F6">
          <w:rPr>
            <w:rFonts w:ascii="Arial" w:eastAsia="Times New Roman" w:hAnsi="Arial" w:cs="Arial"/>
            <w:color w:val="363737"/>
            <w:kern w:val="0"/>
            <w:u w:val="single"/>
            <w14:ligatures w14:val="none"/>
          </w:rPr>
          <w:t>https://doi.org/10.1126/science.aba3758</w:t>
        </w:r>
      </w:hyperlink>
    </w:p>
    <w:p w14:paraId="459F0918"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 xml:space="preserve">Shehabi, A., Smith, S. J., </w:t>
      </w:r>
      <w:proofErr w:type="spellStart"/>
      <w:r w:rsidRPr="004364F6">
        <w:rPr>
          <w:rFonts w:ascii="Arial" w:eastAsia="Times New Roman" w:hAnsi="Arial" w:cs="Arial"/>
          <w:color w:val="363737"/>
          <w:kern w:val="0"/>
          <w14:ligatures w14:val="none"/>
        </w:rPr>
        <w:t>Masanet</w:t>
      </w:r>
      <w:proofErr w:type="spellEnd"/>
      <w:r w:rsidRPr="004364F6">
        <w:rPr>
          <w:rFonts w:ascii="Arial" w:eastAsia="Times New Roman" w:hAnsi="Arial" w:cs="Arial"/>
          <w:color w:val="363737"/>
          <w:kern w:val="0"/>
          <w14:ligatures w14:val="none"/>
        </w:rPr>
        <w:t>, E., and Koomey, J. (2018). Data center growth in the United States: decoupling the demand for services from electricity use. </w:t>
      </w:r>
      <w:r w:rsidRPr="004364F6">
        <w:rPr>
          <w:rFonts w:ascii="Arial" w:eastAsia="Times New Roman" w:hAnsi="Arial" w:cs="Arial"/>
          <w:i/>
          <w:iCs/>
          <w:color w:val="363737"/>
          <w:kern w:val="0"/>
          <w14:ligatures w14:val="none"/>
        </w:rPr>
        <w:t>Environmental Research Letters</w:t>
      </w:r>
      <w:r w:rsidRPr="004364F6">
        <w:rPr>
          <w:rFonts w:ascii="Arial" w:eastAsia="Times New Roman" w:hAnsi="Arial" w:cs="Arial"/>
          <w:color w:val="363737"/>
          <w:kern w:val="0"/>
          <w14:ligatures w14:val="none"/>
        </w:rPr>
        <w:t>, 13(12), 124030. </w:t>
      </w:r>
      <w:hyperlink r:id="rId21" w:tgtFrame="_blank" w:history="1">
        <w:r w:rsidRPr="004364F6">
          <w:rPr>
            <w:rFonts w:ascii="Arial" w:eastAsia="Times New Roman" w:hAnsi="Arial" w:cs="Arial"/>
            <w:color w:val="363737"/>
            <w:kern w:val="0"/>
            <w:u w:val="single"/>
            <w14:ligatures w14:val="none"/>
          </w:rPr>
          <w:t>https://doi.org/10.1088/1748-9326/aaec9c</w:t>
        </w:r>
      </w:hyperlink>
    </w:p>
    <w:p w14:paraId="012CB2FE" w14:textId="77777777" w:rsidR="004364F6" w:rsidRPr="004364F6" w:rsidRDefault="004364F6" w:rsidP="004364F6">
      <w:pPr>
        <w:shd w:val="clear" w:color="auto" w:fill="FFFFFF"/>
        <w:spacing w:after="300" w:line="390" w:lineRule="atLeast"/>
        <w:rPr>
          <w:rFonts w:ascii="Arial" w:eastAsia="Times New Roman" w:hAnsi="Arial" w:cs="Arial"/>
          <w:color w:val="363737"/>
          <w:kern w:val="0"/>
          <w14:ligatures w14:val="none"/>
        </w:rPr>
      </w:pPr>
      <w:r w:rsidRPr="004364F6">
        <w:rPr>
          <w:rFonts w:ascii="Arial" w:eastAsia="Times New Roman" w:hAnsi="Arial" w:cs="Arial"/>
          <w:color w:val="363737"/>
          <w:kern w:val="0"/>
          <w14:ligatures w14:val="none"/>
        </w:rPr>
        <w:t xml:space="preserve">Shehabi, A., Smith, S. J., Hubbard, A., Newkirk, A., Lei, N., </w:t>
      </w:r>
      <w:proofErr w:type="spellStart"/>
      <w:r w:rsidRPr="004364F6">
        <w:rPr>
          <w:rFonts w:ascii="Arial" w:eastAsia="Times New Roman" w:hAnsi="Arial" w:cs="Arial"/>
          <w:color w:val="363737"/>
          <w:kern w:val="0"/>
          <w14:ligatures w14:val="none"/>
        </w:rPr>
        <w:t>Siddik</w:t>
      </w:r>
      <w:proofErr w:type="spellEnd"/>
      <w:r w:rsidRPr="004364F6">
        <w:rPr>
          <w:rFonts w:ascii="Arial" w:eastAsia="Times New Roman" w:hAnsi="Arial" w:cs="Arial"/>
          <w:color w:val="363737"/>
          <w:kern w:val="0"/>
          <w14:ligatures w14:val="none"/>
        </w:rPr>
        <w:t xml:space="preserve">, M. A. B., Holecek, B., </w:t>
      </w:r>
      <w:proofErr w:type="spellStart"/>
      <w:r w:rsidRPr="004364F6">
        <w:rPr>
          <w:rFonts w:ascii="Arial" w:eastAsia="Times New Roman" w:hAnsi="Arial" w:cs="Arial"/>
          <w:color w:val="363737"/>
          <w:kern w:val="0"/>
          <w14:ligatures w14:val="none"/>
        </w:rPr>
        <w:t>Koomey</w:t>
      </w:r>
      <w:proofErr w:type="spellEnd"/>
      <w:r w:rsidRPr="004364F6">
        <w:rPr>
          <w:rFonts w:ascii="Arial" w:eastAsia="Times New Roman" w:hAnsi="Arial" w:cs="Arial"/>
          <w:color w:val="363737"/>
          <w:kern w:val="0"/>
          <w14:ligatures w14:val="none"/>
        </w:rPr>
        <w:t xml:space="preserve">, J., </w:t>
      </w:r>
      <w:proofErr w:type="spellStart"/>
      <w:r w:rsidRPr="004364F6">
        <w:rPr>
          <w:rFonts w:ascii="Arial" w:eastAsia="Times New Roman" w:hAnsi="Arial" w:cs="Arial"/>
          <w:color w:val="363737"/>
          <w:kern w:val="0"/>
          <w14:ligatures w14:val="none"/>
        </w:rPr>
        <w:t>Masanet</w:t>
      </w:r>
      <w:proofErr w:type="spellEnd"/>
      <w:r w:rsidRPr="004364F6">
        <w:rPr>
          <w:rFonts w:ascii="Arial" w:eastAsia="Times New Roman" w:hAnsi="Arial" w:cs="Arial"/>
          <w:color w:val="363737"/>
          <w:kern w:val="0"/>
          <w14:ligatures w14:val="none"/>
        </w:rPr>
        <w:t>, E., and Sartor, D. (2024). </w:t>
      </w:r>
      <w:r w:rsidRPr="004364F6">
        <w:rPr>
          <w:rFonts w:ascii="Arial" w:eastAsia="Times New Roman" w:hAnsi="Arial" w:cs="Arial"/>
          <w:i/>
          <w:iCs/>
          <w:color w:val="363737"/>
          <w:kern w:val="0"/>
          <w14:ligatures w14:val="none"/>
        </w:rPr>
        <w:t>2024 United States Data Center Energy Usage Report</w:t>
      </w:r>
      <w:r w:rsidRPr="004364F6">
        <w:rPr>
          <w:rFonts w:ascii="Arial" w:eastAsia="Times New Roman" w:hAnsi="Arial" w:cs="Arial"/>
          <w:color w:val="363737"/>
          <w:kern w:val="0"/>
          <w14:ligatures w14:val="none"/>
        </w:rPr>
        <w:t> (LBNL-2001637). Lawrence Berkeley National Laboratory. </w:t>
      </w:r>
      <w:hyperlink r:id="rId22" w:tgtFrame="_blank" w:history="1">
        <w:r w:rsidRPr="004364F6">
          <w:rPr>
            <w:rFonts w:ascii="Arial" w:eastAsia="Times New Roman" w:hAnsi="Arial" w:cs="Arial"/>
            <w:color w:val="363737"/>
            <w:kern w:val="0"/>
            <w:u w:val="single"/>
            <w14:ligatures w14:val="none"/>
          </w:rPr>
          <w:t>https://eta-publications.lbl.gov/publications/2024-lbnl-data-center-energy-usage-report</w:t>
        </w:r>
      </w:hyperlink>
    </w:p>
    <w:p w14:paraId="2ADB6283" w14:textId="77777777" w:rsidR="004364F6" w:rsidRPr="004364F6" w:rsidRDefault="004364F6" w:rsidP="004364F6">
      <w:pPr>
        <w:shd w:val="clear" w:color="auto" w:fill="FFFFFF"/>
        <w:spacing w:after="0" w:line="390" w:lineRule="atLeast"/>
        <w:rPr>
          <w:rFonts w:ascii="Arial" w:eastAsia="Times New Roman" w:hAnsi="Arial" w:cs="Arial"/>
          <w:color w:val="363737"/>
          <w:kern w:val="0"/>
          <w14:ligatures w14:val="none"/>
        </w:rPr>
      </w:pPr>
      <w:proofErr w:type="spellStart"/>
      <w:r w:rsidRPr="004364F6">
        <w:rPr>
          <w:rFonts w:ascii="Arial" w:eastAsia="Times New Roman" w:hAnsi="Arial" w:cs="Arial"/>
          <w:color w:val="363737"/>
          <w:kern w:val="0"/>
          <w14:ligatures w14:val="none"/>
        </w:rPr>
        <w:t>Siddik</w:t>
      </w:r>
      <w:proofErr w:type="spellEnd"/>
      <w:r w:rsidRPr="004364F6">
        <w:rPr>
          <w:rFonts w:ascii="Arial" w:eastAsia="Times New Roman" w:hAnsi="Arial" w:cs="Arial"/>
          <w:color w:val="363737"/>
          <w:kern w:val="0"/>
          <w14:ligatures w14:val="none"/>
        </w:rPr>
        <w:t>, M. A. B., Shehabi, A., and Marston, L. (2021). The environmental footprint of data centers in the United States. </w:t>
      </w:r>
      <w:r w:rsidRPr="004364F6">
        <w:rPr>
          <w:rFonts w:ascii="Arial" w:eastAsia="Times New Roman" w:hAnsi="Arial" w:cs="Arial"/>
          <w:i/>
          <w:iCs/>
          <w:color w:val="363737"/>
          <w:kern w:val="0"/>
          <w14:ligatures w14:val="none"/>
        </w:rPr>
        <w:t>Environmental Research Letters</w:t>
      </w:r>
      <w:r w:rsidRPr="004364F6">
        <w:rPr>
          <w:rFonts w:ascii="Arial" w:eastAsia="Times New Roman" w:hAnsi="Arial" w:cs="Arial"/>
          <w:color w:val="363737"/>
          <w:kern w:val="0"/>
          <w14:ligatures w14:val="none"/>
        </w:rPr>
        <w:t>, 16(6), 064017. </w:t>
      </w:r>
      <w:hyperlink r:id="rId23" w:tgtFrame="_blank" w:history="1">
        <w:r w:rsidRPr="004364F6">
          <w:rPr>
            <w:rFonts w:ascii="Arial" w:eastAsia="Times New Roman" w:hAnsi="Arial" w:cs="Arial"/>
            <w:color w:val="363737"/>
            <w:kern w:val="0"/>
            <w:u w:val="single"/>
            <w14:ligatures w14:val="none"/>
          </w:rPr>
          <w:t>https://doi.org/10.1088/1748-9326/abfba1</w:t>
        </w:r>
      </w:hyperlink>
    </w:p>
    <w:p w14:paraId="0DB6744D" w14:textId="77777777" w:rsidR="004364F6" w:rsidRDefault="004364F6"/>
    <w:sectPr w:rsidR="004364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F6"/>
    <w:rsid w:val="000F515D"/>
    <w:rsid w:val="00436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31663"/>
  <w15:chartTrackingRefBased/>
  <w15:docId w15:val="{63BF38CD-B608-4DEB-AE13-B61AEBD42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4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4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4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4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4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4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4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4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4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4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4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4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4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4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4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4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4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4F6"/>
    <w:rPr>
      <w:rFonts w:eastAsiaTheme="majorEastAsia" w:cstheme="majorBidi"/>
      <w:color w:val="272727" w:themeColor="text1" w:themeTint="D8"/>
    </w:rPr>
  </w:style>
  <w:style w:type="paragraph" w:styleId="Title">
    <w:name w:val="Title"/>
    <w:basedOn w:val="Normal"/>
    <w:next w:val="Normal"/>
    <w:link w:val="TitleChar"/>
    <w:uiPriority w:val="10"/>
    <w:qFormat/>
    <w:rsid w:val="004364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4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4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4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4F6"/>
    <w:pPr>
      <w:spacing w:before="160"/>
      <w:jc w:val="center"/>
    </w:pPr>
    <w:rPr>
      <w:i/>
      <w:iCs/>
      <w:color w:val="404040" w:themeColor="text1" w:themeTint="BF"/>
    </w:rPr>
  </w:style>
  <w:style w:type="character" w:customStyle="1" w:styleId="QuoteChar">
    <w:name w:val="Quote Char"/>
    <w:basedOn w:val="DefaultParagraphFont"/>
    <w:link w:val="Quote"/>
    <w:uiPriority w:val="29"/>
    <w:rsid w:val="004364F6"/>
    <w:rPr>
      <w:i/>
      <w:iCs/>
      <w:color w:val="404040" w:themeColor="text1" w:themeTint="BF"/>
    </w:rPr>
  </w:style>
  <w:style w:type="paragraph" w:styleId="ListParagraph">
    <w:name w:val="List Paragraph"/>
    <w:basedOn w:val="Normal"/>
    <w:uiPriority w:val="34"/>
    <w:qFormat/>
    <w:rsid w:val="004364F6"/>
    <w:pPr>
      <w:ind w:left="720"/>
      <w:contextualSpacing/>
    </w:pPr>
  </w:style>
  <w:style w:type="character" w:styleId="IntenseEmphasis">
    <w:name w:val="Intense Emphasis"/>
    <w:basedOn w:val="DefaultParagraphFont"/>
    <w:uiPriority w:val="21"/>
    <w:qFormat/>
    <w:rsid w:val="004364F6"/>
    <w:rPr>
      <w:i/>
      <w:iCs/>
      <w:color w:val="0F4761" w:themeColor="accent1" w:themeShade="BF"/>
    </w:rPr>
  </w:style>
  <w:style w:type="paragraph" w:styleId="IntenseQuote">
    <w:name w:val="Intense Quote"/>
    <w:basedOn w:val="Normal"/>
    <w:next w:val="Normal"/>
    <w:link w:val="IntenseQuoteChar"/>
    <w:uiPriority w:val="30"/>
    <w:qFormat/>
    <w:rsid w:val="004364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4F6"/>
    <w:rPr>
      <w:i/>
      <w:iCs/>
      <w:color w:val="0F4761" w:themeColor="accent1" w:themeShade="BF"/>
    </w:rPr>
  </w:style>
  <w:style w:type="character" w:styleId="IntenseReference">
    <w:name w:val="Intense Reference"/>
    <w:basedOn w:val="DefaultParagraphFont"/>
    <w:uiPriority w:val="32"/>
    <w:qFormat/>
    <w:rsid w:val="004364F6"/>
    <w:rPr>
      <w:b/>
      <w:bCs/>
      <w:smallCaps/>
      <w:color w:val="0F4761" w:themeColor="accent1" w:themeShade="BF"/>
      <w:spacing w:val="5"/>
    </w:rPr>
  </w:style>
  <w:style w:type="character" w:styleId="Hyperlink">
    <w:name w:val="Hyperlink"/>
    <w:basedOn w:val="DefaultParagraphFont"/>
    <w:uiPriority w:val="99"/>
    <w:unhideWhenUsed/>
    <w:rsid w:val="004364F6"/>
    <w:rPr>
      <w:color w:val="467886" w:themeColor="hyperlink"/>
      <w:u w:val="single"/>
    </w:rPr>
  </w:style>
  <w:style w:type="character" w:styleId="UnresolvedMention">
    <w:name w:val="Unresolved Mention"/>
    <w:basedOn w:val="DefaultParagraphFont"/>
    <w:uiPriority w:val="99"/>
    <w:semiHidden/>
    <w:unhideWhenUsed/>
    <w:rsid w:val="004364F6"/>
    <w:rPr>
      <w:color w:val="605E5C"/>
      <w:shd w:val="clear" w:color="auto" w:fill="E1DFDD"/>
    </w:rPr>
  </w:style>
  <w:style w:type="character" w:styleId="FollowedHyperlink">
    <w:name w:val="FollowedHyperlink"/>
    <w:basedOn w:val="DefaultParagraphFont"/>
    <w:uiPriority w:val="99"/>
    <w:semiHidden/>
    <w:unhideWhenUsed/>
    <w:rsid w:val="004364F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ubstack.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.oe3N0aj19iR7-BW7NXIOgajZCBrfgTbsxUZoFWhAvOU?&amp;utm_source=substack&amp;utm_medium=email" TargetMode="External"/><Relationship Id="rId18" Type="http://schemas.openxmlformats.org/officeDocument/2006/relationships/hyperlink" Target="https://substack.com/redirect/fd09f3b7-d3af-49cb-85a0-572d43b5463a?j=eyJ1IjoiNThvY2xlIn0.z9ULvxB8_fZDjR9-8fr1SyYVkH-oFGuQv-o35GQqwDc" TargetMode="External"/><Relationship Id="rId3" Type="http://schemas.openxmlformats.org/officeDocument/2006/relationships/webSettings" Target="webSettings.xml"/><Relationship Id="rId21" Type="http://schemas.openxmlformats.org/officeDocument/2006/relationships/hyperlink" Target="https://substack.com/redirect/2fba8f25-116b-4348-b0ea-8a3bb88b77c4?j=eyJ1IjoiNThvY2xlIn0.z9ULvxB8_fZDjR9-8fr1SyYVkH-oFGuQv-o35GQqwDc" TargetMode="External"/><Relationship Id="rId7" Type="http://schemas.openxmlformats.org/officeDocument/2006/relationships/hyperlink" Target="https://substack.com/app-link/post?publication_id=8182975&amp;post_id=202130821&amp;utm_source=substack&amp;isFreemail=true&amp;submitLike=true&amp;token=eyJ1c2VyX2lkIjozMTY5MDM4NzQsInBvc3RfaWQiOjIwMjEzMDgyMSwicmVhY3Rpb24iOiLinaQiLCJpYXQiOjE3ODE3NDYzMDUsImV4cCI6MTc4NDMzODMwNSwiaXNzIjoicHViLTgxODI5NzUiLCJzdWIiOiJyZWFjdGlvbiJ9.FeF92hYPkkLg26CVNoudYXh3aiaDILeM_eNxHn5T_3M&amp;utm_medium=email&amp;utm_campaign=email-reaction&amp;r=58ocle" TargetMode="External"/><Relationship Id="rId12" Type="http://schemas.openxmlformats.org/officeDocument/2006/relationships/image" Target="media/image4.png"/><Relationship Id="rId17" Type="http://schemas.openxmlformats.org/officeDocument/2006/relationships/hyperlink" Target="https://sonoranthinktank.substack.com/subscribe?utm_source=email&amp;utm_campaign=email-subscribe&amp;r=58ocle&amp;next=https%3A%2F%2Fsonoranthinktank.substack.com%2Fp%2Ftwo-machines-one-name&amp;utm_medium=email"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hyperlink" Target="https://substack.com/redirect/a33dc256-3d46-455b-96bd-9fd0dee3cef7?j=eyJ1IjoiNThvY2xlIn0.z9ULvxB8_fZDjR9-8fr1SyYVkH-oFGuQv-o35GQqwDc"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substack.com/app-link/post?publication_id=8182975&amp;post_id=202130821&amp;utm_source=substack&amp;utm_medium=email&amp;utm_content=share&amp;utm_campaign=email-share&amp;action=share&amp;triggerShare=true&amp;isFreemail=true&amp;r=58ocle&amp;token=eyJ1c2VyX2lkIjozMTY5MDM4NzQsInBvc3RfaWQiOjIwMjEzMDgyMSwiaWF0IjoxNzgxNzQ2MzA1LCJleHAiOjE3ODQzMzgzMDUsImlzcyI6InB1Yi04MTgyOTc1Iiwic3ViIjoicG9zdC1yZWFjdGlvbiJ9.FNkJEXsnS98RSpF1oBvIgxLdMnlOHXcCyk6OmqTOSkY" TargetMode="External"/><Relationship Id="rId24" Type="http://schemas.openxmlformats.org/officeDocument/2006/relationships/fontTable" Target="fontTable.xml"/><Relationship Id="rId5" Type="http://schemas.openxmlformats.org/officeDocument/2006/relationships/hyperlink" Target="https://sonoranthinktank.substack.com/subscribe?utm_source=email&amp;utm_campaign=email-subscribe&amp;r=58ocle&amp;next=https%3A%2F%2Fsonoranthinktank.substack.com%2Fp%2Ftwo-machines-one-name&amp;utm_medium=email" TargetMode="External"/><Relationship Id="rId15" Type="http://schemas.openxmlformats.org/officeDocument/2006/relationships/hyperlink" Target="https://open.substack.com/pub/sonoranthinktank/p/two-machines-one-name?utm_source=email&amp;redirect=app-store&amp;utm_campaign=email-read-in-app" TargetMode="External"/><Relationship Id="rId23" Type="http://schemas.openxmlformats.org/officeDocument/2006/relationships/hyperlink" Target="https://substack.com/redirect/058333ad-7821-4d06-a9d9-c987c91e69e6?j=eyJ1IjoiNThvY2xlIn0.z9ULvxB8_fZDjR9-8fr1SyYVkH-oFGuQv-o35GQqwDc" TargetMode="External"/><Relationship Id="rId10" Type="http://schemas.openxmlformats.org/officeDocument/2006/relationships/image" Target="media/image3.png"/><Relationship Id="rId19" Type="http://schemas.openxmlformats.org/officeDocument/2006/relationships/hyperlink" Target="https://substack.com/redirect/bdff335b-3eff-42be-8376-e088ad8c6741?j=eyJ1IjoiNThvY2xlIn0.z9ULvxB8_fZDjR9-8fr1SyYVkH-oFGuQv-o35GQqwDc" TargetMode="External"/><Relationship Id="rId4" Type="http://schemas.openxmlformats.org/officeDocument/2006/relationships/hyperlink" Target="https://substack.com/@colinmellars" TargetMode="External"/><Relationship Id="rId9" Type="http://schemas.openxmlformats.org/officeDocument/2006/relationships/hyperlink" Target="https://substack.com/app-link/post?publication_id=8182975&amp;post_id=202130821&amp;utm_source=substack&amp;utm_medium=email&amp;isFreemail=true&amp;comments=true&amp;token=eyJ1c2VyX2lkIjozMTY5MDM4NzQsInBvc3RfaWQiOjIwMjEzMDgyMSwiaWF0IjoxNzgxNzQ2MzA1LCJleHAiOjE3ODQzMzgzMDUsImlzcyI6InB1Yi04MTgyOTc1Iiwic3ViIjoicG9zdC1yZWFjdGlvbiJ9.FNkJEXsnS98RSpF1oBvIgxLdMnlOHXcCyk6OmqTOSkY&amp;r=58ocle&amp;utm_campaign=email-half-magic-comments&amp;action=post-comment&amp;utm_source=substack&amp;utm_medium=email" TargetMode="External"/><Relationship Id="rId14" Type="http://schemas.openxmlformats.org/officeDocument/2006/relationships/image" Target="media/image5.png"/><Relationship Id="rId22" Type="http://schemas.openxmlformats.org/officeDocument/2006/relationships/hyperlink" Target="https://substack.com/redirect/11e7b2b8-2133-40ca-a9fd-461beb4fed38?j=eyJ1IjoiNThvY2xlIn0.z9ULvxB8_fZDjR9-8fr1SyYVkH-oFGuQv-o35GQqw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2295</Words>
  <Characters>12925</Characters>
  <Application>Microsoft Office Word</Application>
  <DocSecurity>0</DocSecurity>
  <Lines>235</Lines>
  <Paragraphs>57</Paragraphs>
  <ScaleCrop>false</ScaleCrop>
  <Company/>
  <LinksUpToDate>false</LinksUpToDate>
  <CharactersWithSpaces>15163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Demidio</dc:creator>
  <cp:keywords/>
  <dc:description/>
  <cp:lastModifiedBy>Brad Demidio</cp:lastModifiedBy>
  <cp:revision>1</cp:revision>
  <dcterms:created xsi:type="dcterms:W3CDTF">2026-06-18T15:39:00Z</dcterms:created>
  <dcterms:modified xsi:type="dcterms:W3CDTF">2026-06-18T15:43:00Z</dcterms:modified>
</cp:coreProperties>
</file>