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924F" w14:textId="1B1FB054" w:rsidR="00DB4AB4" w:rsidRPr="009C4CE4" w:rsidRDefault="009C4CE4" w:rsidP="009C4CE4">
      <w:pPr>
        <w:pBdr>
          <w:bottom w:val="single" w:sz="4" w:space="1" w:color="auto"/>
        </w:pBdr>
        <w:rPr>
          <w:b/>
          <w:bCs/>
          <w:sz w:val="36"/>
          <w:szCs w:val="36"/>
        </w:rPr>
      </w:pPr>
      <w:r w:rsidRPr="009C4CE4">
        <w:rPr>
          <w:b/>
          <w:bCs/>
          <w:sz w:val="36"/>
          <w:szCs w:val="36"/>
        </w:rPr>
        <w:t xml:space="preserve">Summary: </w:t>
      </w:r>
      <w:r w:rsidR="00DB4AB4" w:rsidRPr="009C4CE4">
        <w:rPr>
          <w:b/>
          <w:bCs/>
          <w:sz w:val="36"/>
          <w:szCs w:val="36"/>
        </w:rPr>
        <w:t>Vote YES on Proposition 421</w:t>
      </w:r>
    </w:p>
    <w:p w14:paraId="440FBDE9" w14:textId="77777777" w:rsidR="00DB4AB4" w:rsidRPr="004C13CF" w:rsidRDefault="00DB4AB4" w:rsidP="00DB4AB4">
      <w:r w:rsidRPr="004C13CF">
        <w:t>Proposition 421 asks Tucson voters to renew the long</w:t>
      </w:r>
      <w:r w:rsidRPr="004C13CF">
        <w:noBreakHyphen/>
        <w:t>standing franchise agreement that allows Tucson Electric Power (TEP) to operate within city streets, alleys, and public rights</w:t>
      </w:r>
      <w:r w:rsidRPr="004C13CF">
        <w:noBreakHyphen/>
        <w:t>of</w:t>
      </w:r>
      <w:r w:rsidRPr="004C13CF">
        <w:noBreakHyphen/>
        <w:t>way. These agreements are standard across Arizona and are essential for efficient utility service, cost</w:t>
      </w:r>
      <w:r w:rsidRPr="004C13CF">
        <w:noBreakHyphen/>
        <w:t xml:space="preserve">effective upgrades, and fast repairs during outages. Supporters argue that Prop 421 maintains the rules that have kept service reliable for decades — </w:t>
      </w:r>
      <w:r w:rsidRPr="004C13CF">
        <w:rPr>
          <w:b/>
          <w:bCs/>
        </w:rPr>
        <w:t>without increasing electric bills</w:t>
      </w:r>
      <w:r w:rsidRPr="004C13CF">
        <w:t xml:space="preserve">. </w:t>
      </w:r>
      <w:r w:rsidRPr="004C13CF">
        <w:rPr>
          <w:i/>
          <w:iCs/>
        </w:rPr>
        <w:t>(Source: Arizona Daily Star, Sept. 9, 2026.)</w:t>
      </w:r>
    </w:p>
    <w:p w14:paraId="2AF57773" w14:textId="77777777" w:rsidR="00DB4AB4" w:rsidRPr="004C13CF" w:rsidRDefault="00DB4AB4" w:rsidP="00DB4AB4">
      <w:pPr>
        <w:rPr>
          <w:b/>
          <w:bCs/>
        </w:rPr>
      </w:pPr>
      <w:r w:rsidRPr="004C13CF">
        <w:rPr>
          <w:b/>
          <w:bCs/>
        </w:rPr>
        <w:t>Reliability and Efficient Operations</w:t>
      </w:r>
    </w:p>
    <w:p w14:paraId="25F44E85" w14:textId="77777777" w:rsidR="00DB4AB4" w:rsidRPr="004C13CF" w:rsidRDefault="00DB4AB4" w:rsidP="00DB4AB4">
      <w:r w:rsidRPr="004C13CF">
        <w:t>TEP has operated under its current franchise since 2000. Without a renewed agreement, utility crews would face slower permitting, higher costs, and delays in restoring power — especially during monsoon storms or extreme heat. Local leaders and organizations across the political spectrum support Prop 421 because it preserves stable, predictable operations and avoids disruptions to critical services.</w:t>
      </w:r>
    </w:p>
    <w:p w14:paraId="287512B1" w14:textId="77777777" w:rsidR="00DB4AB4" w:rsidRPr="004C13CF" w:rsidRDefault="00DB4AB4" w:rsidP="00DB4AB4">
      <w:pPr>
        <w:rPr>
          <w:b/>
          <w:bCs/>
        </w:rPr>
      </w:pPr>
      <w:r w:rsidRPr="004C13CF">
        <w:rPr>
          <w:b/>
          <w:bCs/>
        </w:rPr>
        <w:t>What Prop 421 Actually Does — and Doesn’t Do</w:t>
      </w:r>
    </w:p>
    <w:p w14:paraId="2E5AE9FE" w14:textId="77777777" w:rsidR="00DB4AB4" w:rsidRPr="004C13CF" w:rsidRDefault="00DB4AB4" w:rsidP="00DB4AB4">
      <w:r w:rsidRPr="004C13CF">
        <w:t xml:space="preserve">Franchise agreements do </w:t>
      </w:r>
      <w:r w:rsidRPr="004C13CF">
        <w:rPr>
          <w:b/>
          <w:bCs/>
        </w:rPr>
        <w:t>not</w:t>
      </w:r>
      <w:r w:rsidRPr="004C13CF">
        <w:t xml:space="preserve"> set electric rates, determine energy sources, or regulate data centers. Claims that Prop 421 could resolve unrelated energy debates are inaccurate. The measure simply maintains the legal framework that allows TEP to work efficiently within city limits.</w:t>
      </w:r>
    </w:p>
    <w:p w14:paraId="70CF7902" w14:textId="77777777" w:rsidR="00DB4AB4" w:rsidRPr="004C13CF" w:rsidRDefault="00DB4AB4" w:rsidP="00DB4AB4">
      <w:pPr>
        <w:rPr>
          <w:b/>
          <w:bCs/>
        </w:rPr>
      </w:pPr>
      <w:r w:rsidRPr="004C13CF">
        <w:rPr>
          <w:b/>
          <w:bCs/>
        </w:rPr>
        <w:t>The Energy Collaboration Agreement (ECA)</w:t>
      </w:r>
    </w:p>
    <w:p w14:paraId="6262235B" w14:textId="77777777" w:rsidR="00DB4AB4" w:rsidRPr="004C13CF" w:rsidRDefault="00DB4AB4" w:rsidP="00DB4AB4">
      <w:r w:rsidRPr="004C13CF">
        <w:t xml:space="preserve">If voters approve Prop 421, the City of Tucson and TEP will implement a voluntary </w:t>
      </w:r>
      <w:r w:rsidRPr="004C13CF">
        <w:rPr>
          <w:b/>
          <w:bCs/>
        </w:rPr>
        <w:t>Energy Collaboration Agreement</w:t>
      </w:r>
      <w:r w:rsidRPr="004C13CF">
        <w:t xml:space="preserve"> developed after more than a year of public engagement. The ECA commits </w:t>
      </w:r>
      <w:r w:rsidRPr="004C13CF">
        <w:rPr>
          <w:b/>
          <w:bCs/>
        </w:rPr>
        <w:t>$2 million per year</w:t>
      </w:r>
      <w:r w:rsidRPr="004C13CF">
        <w:t>, increasing 2% annually, for community resilience and clean</w:t>
      </w:r>
      <w:r w:rsidRPr="004C13CF">
        <w:noBreakHyphen/>
        <w:t xml:space="preserve">energy projects — totaling </w:t>
      </w:r>
      <w:r w:rsidRPr="004C13CF">
        <w:rPr>
          <w:b/>
          <w:bCs/>
        </w:rPr>
        <w:t>$64 million</w:t>
      </w:r>
      <w:r w:rsidRPr="004C13CF">
        <w:t xml:space="preserve"> over 25 years. </w:t>
      </w:r>
      <w:r w:rsidRPr="004C13CF">
        <w:rPr>
          <w:i/>
          <w:iCs/>
        </w:rPr>
        <w:t>(Source: City of Tucson.)</w:t>
      </w:r>
    </w:p>
    <w:p w14:paraId="69F34DF8" w14:textId="77777777" w:rsidR="00DB4AB4" w:rsidRPr="004C13CF" w:rsidRDefault="00DB4AB4" w:rsidP="00DB4AB4">
      <w:r w:rsidRPr="004C13CF">
        <w:t xml:space="preserve">These funds come from corporate resources and </w:t>
      </w:r>
      <w:r w:rsidRPr="004C13CF">
        <w:rPr>
          <w:b/>
          <w:bCs/>
        </w:rPr>
        <w:t>cannot be recovered through customer rates</w:t>
      </w:r>
      <w:r w:rsidRPr="004C13CF">
        <w:t>. Oversight will be provided by the City’s Commission on Climate, Energy, and Sustainability, with regular public review.</w:t>
      </w:r>
    </w:p>
    <w:p w14:paraId="36032339" w14:textId="77777777" w:rsidR="00DB4AB4" w:rsidRPr="004C13CF" w:rsidRDefault="00DB4AB4" w:rsidP="00DB4AB4">
      <w:pPr>
        <w:rPr>
          <w:b/>
          <w:bCs/>
        </w:rPr>
      </w:pPr>
      <w:r w:rsidRPr="004C13CF">
        <w:rPr>
          <w:b/>
          <w:bCs/>
        </w:rPr>
        <w:t>Community Benefits</w:t>
      </w:r>
    </w:p>
    <w:p w14:paraId="316B0C69" w14:textId="77777777" w:rsidR="00DB4AB4" w:rsidRPr="004C13CF" w:rsidRDefault="00DB4AB4" w:rsidP="00DB4AB4">
      <w:r w:rsidRPr="004C13CF">
        <w:t>The ECA can support:</w:t>
      </w:r>
    </w:p>
    <w:p w14:paraId="72C7F5A7" w14:textId="77777777" w:rsidR="00DB4AB4" w:rsidRPr="004C13CF" w:rsidRDefault="00DB4AB4" w:rsidP="00DB4AB4">
      <w:pPr>
        <w:numPr>
          <w:ilvl w:val="0"/>
          <w:numId w:val="1"/>
        </w:numPr>
      </w:pPr>
      <w:r w:rsidRPr="004C13CF">
        <w:t>Bill assistance for low</w:t>
      </w:r>
      <w:r w:rsidRPr="004C13CF">
        <w:noBreakHyphen/>
        <w:t>income households</w:t>
      </w:r>
    </w:p>
    <w:p w14:paraId="7C27FBE1" w14:textId="77777777" w:rsidR="00DB4AB4" w:rsidRPr="004C13CF" w:rsidRDefault="00DB4AB4" w:rsidP="00DB4AB4">
      <w:pPr>
        <w:numPr>
          <w:ilvl w:val="0"/>
          <w:numId w:val="1"/>
        </w:numPr>
      </w:pPr>
      <w:r w:rsidRPr="004C13CF">
        <w:t>Home energy</w:t>
      </w:r>
      <w:r w:rsidRPr="004C13CF">
        <w:noBreakHyphen/>
        <w:t>efficiency upgrades</w:t>
      </w:r>
    </w:p>
    <w:p w14:paraId="24F6DC74" w14:textId="77777777" w:rsidR="00DB4AB4" w:rsidRPr="004C13CF" w:rsidRDefault="00DB4AB4" w:rsidP="00DB4AB4">
      <w:pPr>
        <w:numPr>
          <w:ilvl w:val="0"/>
          <w:numId w:val="1"/>
        </w:numPr>
      </w:pPr>
      <w:r w:rsidRPr="004C13CF">
        <w:t>Resilience hubs with solar and battery storage</w:t>
      </w:r>
    </w:p>
    <w:p w14:paraId="2D740F68" w14:textId="77777777" w:rsidR="00DB4AB4" w:rsidRPr="004C13CF" w:rsidRDefault="00DB4AB4" w:rsidP="00DB4AB4">
      <w:pPr>
        <w:numPr>
          <w:ilvl w:val="0"/>
          <w:numId w:val="1"/>
        </w:numPr>
      </w:pPr>
      <w:r w:rsidRPr="004C13CF">
        <w:lastRenderedPageBreak/>
        <w:t xml:space="preserve">Expanded tree canopy for heat </w:t>
      </w:r>
      <w:proofErr w:type="gramStart"/>
      <w:r w:rsidRPr="004C13CF">
        <w:t>relief</w:t>
      </w:r>
      <w:proofErr w:type="gramEnd"/>
    </w:p>
    <w:p w14:paraId="587FC446" w14:textId="77777777" w:rsidR="00DB4AB4" w:rsidRPr="004C13CF" w:rsidRDefault="00DB4AB4" w:rsidP="00DB4AB4">
      <w:pPr>
        <w:numPr>
          <w:ilvl w:val="0"/>
          <w:numId w:val="1"/>
        </w:numPr>
      </w:pPr>
      <w:r w:rsidRPr="004C13CF">
        <w:t>Electric</w:t>
      </w:r>
      <w:r w:rsidRPr="004C13CF">
        <w:noBreakHyphen/>
        <w:t xml:space="preserve">vehicle charging </w:t>
      </w:r>
      <w:proofErr w:type="gramStart"/>
      <w:r w:rsidRPr="004C13CF">
        <w:t>infrastructure</w:t>
      </w:r>
      <w:proofErr w:type="gramEnd"/>
    </w:p>
    <w:p w14:paraId="389993D0" w14:textId="77777777" w:rsidR="00DB4AB4" w:rsidRPr="004C13CF" w:rsidRDefault="00DB4AB4" w:rsidP="00DB4AB4">
      <w:pPr>
        <w:numPr>
          <w:ilvl w:val="0"/>
          <w:numId w:val="1"/>
        </w:numPr>
      </w:pPr>
      <w:r w:rsidRPr="004C13CF">
        <w:t>Home solar and battery programs</w:t>
      </w:r>
    </w:p>
    <w:p w14:paraId="76C858FE" w14:textId="77777777" w:rsidR="00DB4AB4" w:rsidRPr="004C13CF" w:rsidRDefault="00DB4AB4" w:rsidP="00DB4AB4">
      <w:pPr>
        <w:numPr>
          <w:ilvl w:val="0"/>
          <w:numId w:val="1"/>
        </w:numPr>
      </w:pPr>
      <w:r w:rsidRPr="004C13CF">
        <w:t>School outreach, internships, and apprenticeships in energy careers</w:t>
      </w:r>
    </w:p>
    <w:p w14:paraId="137A8D0B" w14:textId="445EE189" w:rsidR="00DB4AB4" w:rsidRPr="009C4CE4" w:rsidRDefault="00DB4AB4" w:rsidP="00DB4AB4">
      <w:r w:rsidRPr="004C13CF">
        <w:t>These investments aim to strengthen heat preparedness, expand clean</w:t>
      </w:r>
      <w:r w:rsidRPr="004C13CF">
        <w:noBreakHyphen/>
        <w:t>energy options, and improve affordability for residents.</w:t>
      </w:r>
    </w:p>
    <w:p w14:paraId="5F81A4FA" w14:textId="77777777" w:rsidR="00DB4AB4" w:rsidRPr="004C13CF" w:rsidRDefault="00DB4AB4" w:rsidP="00DB4AB4">
      <w:pPr>
        <w:rPr>
          <w:b/>
          <w:bCs/>
        </w:rPr>
      </w:pPr>
      <w:r w:rsidRPr="004C13CF">
        <w:rPr>
          <w:b/>
          <w:bCs/>
        </w:rPr>
        <w:t>Why Supporters Recommend a YES Vote</w:t>
      </w:r>
    </w:p>
    <w:p w14:paraId="0BA2FDB0" w14:textId="77777777" w:rsidR="00DB4AB4" w:rsidRPr="004C13CF" w:rsidRDefault="00DB4AB4" w:rsidP="00DB4AB4">
      <w:r w:rsidRPr="004C13CF">
        <w:t>Supporters, including the Southern Arizona Energy Alliance, argue that Prop 421 protects reliability, avoids unnecessary service disruptions, and delivers significant new community benefits. They caution that rejecting the franchise could slow infrastructure work and delay outage repairs, creating risks during extreme weather.</w:t>
      </w:r>
    </w:p>
    <w:p w14:paraId="06EB0DE0" w14:textId="77777777" w:rsidR="00DB4AB4" w:rsidRDefault="00DB4AB4" w:rsidP="00DB4AB4">
      <w:r w:rsidRPr="004C13CF">
        <w:t>Prop 421 maintains the existing 2.25% franchise fee, keeps electric bills unaffected, and unlocks long</w:t>
      </w:r>
      <w:r w:rsidRPr="004C13CF">
        <w:noBreakHyphen/>
        <w:t>term investments in resilience and clean energy.</w:t>
      </w:r>
    </w:p>
    <w:p w14:paraId="2D871DEE" w14:textId="77777777" w:rsidR="009C4CE4" w:rsidRDefault="009C4CE4" w:rsidP="00DB4AB4"/>
    <w:p w14:paraId="46A47B4B" w14:textId="303F7666" w:rsidR="009C4CE4" w:rsidRDefault="009C4CE4" w:rsidP="009C4CE4">
      <w:pPr>
        <w:pBdr>
          <w:top w:val="single" w:sz="4" w:space="1" w:color="auto"/>
        </w:pBdr>
      </w:pPr>
      <w:r>
        <w:t>Sources:</w:t>
      </w:r>
    </w:p>
    <w:p w14:paraId="57D9C14D" w14:textId="0DADFD3A" w:rsidR="009C4CE4" w:rsidRDefault="009C4CE4" w:rsidP="009C4CE4">
      <w:r>
        <w:t xml:space="preserve">City of Tucson: </w:t>
      </w:r>
      <w:hyperlink r:id="rId5" w:history="1">
        <w:r w:rsidRPr="004C13CF">
          <w:rPr>
            <w:rStyle w:val="Hyperlink"/>
          </w:rPr>
          <w:t>Information on Energy Collaboration Agreement in Proposition 421 City of Tucson</w:t>
        </w:r>
      </w:hyperlink>
    </w:p>
    <w:p w14:paraId="1015F394" w14:textId="77777777" w:rsidR="009C4CE4" w:rsidRDefault="009C4CE4" w:rsidP="009C4CE4">
      <w:hyperlink r:id="rId6" w:history="1">
        <w:r w:rsidRPr="004C13CF">
          <w:rPr>
            <w:rStyle w:val="Hyperlink"/>
          </w:rPr>
          <w:t>Local opinion: Prop. 421 would renew Tucson’s TEP agreement, Arizona Daily Star, The (Tucson, AZ), September 9, 2026, p1</w:t>
        </w:r>
      </w:hyperlink>
    </w:p>
    <w:p w14:paraId="0BA65D4E" w14:textId="77777777" w:rsidR="009C4CE4" w:rsidRDefault="009C4CE4" w:rsidP="009C4CE4"/>
    <w:p w14:paraId="127D0D09" w14:textId="77777777" w:rsidR="009C4CE4" w:rsidRDefault="009C4CE4" w:rsidP="009C4CE4"/>
    <w:p w14:paraId="4E1D5F31" w14:textId="77777777" w:rsidR="009C4CE4" w:rsidRPr="004C13CF" w:rsidRDefault="009C4CE4" w:rsidP="00DB4AB4"/>
    <w:p w14:paraId="28D96F08" w14:textId="77777777" w:rsidR="00DB4AB4" w:rsidRDefault="00DB4AB4"/>
    <w:sectPr w:rsidR="00DB4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43A0"/>
    <w:multiLevelType w:val="multilevel"/>
    <w:tmpl w:val="0190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2069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B4"/>
    <w:rsid w:val="000A46E9"/>
    <w:rsid w:val="002F3674"/>
    <w:rsid w:val="005C2F8E"/>
    <w:rsid w:val="009C4CE4"/>
    <w:rsid w:val="00A02EFB"/>
    <w:rsid w:val="00DB4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D0A3"/>
  <w15:chartTrackingRefBased/>
  <w15:docId w15:val="{8DD60FC6-4704-4489-A29A-55E3124E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B4"/>
  </w:style>
  <w:style w:type="paragraph" w:styleId="Heading1">
    <w:name w:val="heading 1"/>
    <w:basedOn w:val="Normal"/>
    <w:next w:val="Normal"/>
    <w:link w:val="Heading1Char"/>
    <w:uiPriority w:val="9"/>
    <w:qFormat/>
    <w:rsid w:val="00DB4A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A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A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A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A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AB4"/>
    <w:rPr>
      <w:rFonts w:eastAsiaTheme="majorEastAsia" w:cstheme="majorBidi"/>
      <w:color w:val="272727" w:themeColor="text1" w:themeTint="D8"/>
    </w:rPr>
  </w:style>
  <w:style w:type="paragraph" w:styleId="Title">
    <w:name w:val="Title"/>
    <w:basedOn w:val="Normal"/>
    <w:next w:val="Normal"/>
    <w:link w:val="TitleChar"/>
    <w:uiPriority w:val="10"/>
    <w:qFormat/>
    <w:rsid w:val="00DB4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AB4"/>
    <w:pPr>
      <w:spacing w:before="160"/>
      <w:jc w:val="center"/>
    </w:pPr>
    <w:rPr>
      <w:i/>
      <w:iCs/>
      <w:color w:val="404040" w:themeColor="text1" w:themeTint="BF"/>
    </w:rPr>
  </w:style>
  <w:style w:type="character" w:customStyle="1" w:styleId="QuoteChar">
    <w:name w:val="Quote Char"/>
    <w:basedOn w:val="DefaultParagraphFont"/>
    <w:link w:val="Quote"/>
    <w:uiPriority w:val="29"/>
    <w:rsid w:val="00DB4AB4"/>
    <w:rPr>
      <w:i/>
      <w:iCs/>
      <w:color w:val="404040" w:themeColor="text1" w:themeTint="BF"/>
    </w:rPr>
  </w:style>
  <w:style w:type="paragraph" w:styleId="ListParagraph">
    <w:name w:val="List Paragraph"/>
    <w:basedOn w:val="Normal"/>
    <w:uiPriority w:val="34"/>
    <w:qFormat/>
    <w:rsid w:val="00DB4AB4"/>
    <w:pPr>
      <w:ind w:left="720"/>
      <w:contextualSpacing/>
    </w:pPr>
  </w:style>
  <w:style w:type="character" w:styleId="IntenseEmphasis">
    <w:name w:val="Intense Emphasis"/>
    <w:basedOn w:val="DefaultParagraphFont"/>
    <w:uiPriority w:val="21"/>
    <w:qFormat/>
    <w:rsid w:val="00DB4AB4"/>
    <w:rPr>
      <w:i/>
      <w:iCs/>
      <w:color w:val="0F4761" w:themeColor="accent1" w:themeShade="BF"/>
    </w:rPr>
  </w:style>
  <w:style w:type="paragraph" w:styleId="IntenseQuote">
    <w:name w:val="Intense Quote"/>
    <w:basedOn w:val="Normal"/>
    <w:next w:val="Normal"/>
    <w:link w:val="IntenseQuoteChar"/>
    <w:uiPriority w:val="30"/>
    <w:qFormat/>
    <w:rsid w:val="00DB4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AB4"/>
    <w:rPr>
      <w:i/>
      <w:iCs/>
      <w:color w:val="0F4761" w:themeColor="accent1" w:themeShade="BF"/>
    </w:rPr>
  </w:style>
  <w:style w:type="character" w:styleId="IntenseReference">
    <w:name w:val="Intense Reference"/>
    <w:basedOn w:val="DefaultParagraphFont"/>
    <w:uiPriority w:val="32"/>
    <w:qFormat/>
    <w:rsid w:val="00DB4AB4"/>
    <w:rPr>
      <w:b/>
      <w:bCs/>
      <w:smallCaps/>
      <w:color w:val="0F4761" w:themeColor="accent1" w:themeShade="BF"/>
      <w:spacing w:val="5"/>
    </w:rPr>
  </w:style>
  <w:style w:type="character" w:styleId="Hyperlink">
    <w:name w:val="Hyperlink"/>
    <w:basedOn w:val="DefaultParagraphFont"/>
    <w:uiPriority w:val="99"/>
    <w:unhideWhenUsed/>
    <w:rsid w:val="009C4CE4"/>
    <w:rPr>
      <w:color w:val="467886" w:themeColor="hyperlink"/>
      <w:u w:val="single"/>
    </w:rPr>
  </w:style>
  <w:style w:type="character" w:styleId="UnresolvedMention">
    <w:name w:val="Unresolved Mention"/>
    <w:basedOn w:val="DefaultParagraphFont"/>
    <w:uiPriority w:val="99"/>
    <w:semiHidden/>
    <w:unhideWhenUsed/>
    <w:rsid w:val="009C4CE4"/>
    <w:rPr>
      <w:color w:val="605E5C"/>
      <w:shd w:val="clear" w:color="auto" w:fill="E1DFDD"/>
    </w:rPr>
  </w:style>
  <w:style w:type="character" w:styleId="FollowedHyperlink">
    <w:name w:val="FollowedHyperlink"/>
    <w:basedOn w:val="DefaultParagraphFont"/>
    <w:uiPriority w:val="99"/>
    <w:semiHidden/>
    <w:unhideWhenUsed/>
    <w:rsid w:val="009C4C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web-newsbank-com.pcpl.idm.oclc.org/apps/news/document-view?p=AWNB&amp;t=pubname%3AADSB%21Arizona%2BDaily%2BStar%252C%2BThe%2B%2528Tucson%252C%2BAZ%2529/year%3A2026%212026/mody%3A0909%21September%2B09&amp;action=browse&amp;format=text&amp;docref=news/1AA85AFCCE4BC270" TargetMode="External"/><Relationship Id="rId5" Type="http://schemas.openxmlformats.org/officeDocument/2006/relationships/hyperlink" Target="https://www.tucsonaz.gov/News-articles/Energy-Collaboration-Agreement-Between-the-City-and-TEP-Promotes-Energy-Infrastruc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Demidio</dc:creator>
  <cp:keywords/>
  <dc:description/>
  <cp:lastModifiedBy>Brad Demidio</cp:lastModifiedBy>
  <cp:revision>3</cp:revision>
  <dcterms:created xsi:type="dcterms:W3CDTF">2026-09-20T18:31:00Z</dcterms:created>
  <dcterms:modified xsi:type="dcterms:W3CDTF">2026-09-22T15:15:00Z</dcterms:modified>
</cp:coreProperties>
</file>