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29587" w14:textId="77777777" w:rsidR="00D25DB7" w:rsidRDefault="00D25DB7" w:rsidP="007F677A">
      <w:pPr>
        <w:rPr>
          <w:rFonts w:ascii="Calibri" w:eastAsia="Calibri" w:hAnsi="Calibri" w:cs="Calibri"/>
          <w:b/>
          <w:sz w:val="28"/>
          <w:szCs w:val="28"/>
        </w:rPr>
      </w:pPr>
    </w:p>
    <w:p w14:paraId="2CEF396D" w14:textId="48A52906" w:rsidR="00D25DB7" w:rsidRDefault="00D25DB7" w:rsidP="00D25DB7">
      <w:pPr>
        <w:jc w:val="center"/>
        <w:rPr>
          <w:rFonts w:ascii="Calibri" w:eastAsia="Calibri" w:hAnsi="Calibri" w:cs="Calibri"/>
          <w:b/>
          <w:sz w:val="28"/>
          <w:szCs w:val="28"/>
        </w:rPr>
      </w:pPr>
      <w:r>
        <w:rPr>
          <w:rFonts w:ascii="Calibri" w:eastAsia="Calibri" w:hAnsi="Calibri" w:cs="Calibri"/>
          <w:b/>
          <w:sz w:val="28"/>
          <w:szCs w:val="28"/>
        </w:rPr>
        <w:t>Executive Summary</w:t>
      </w:r>
    </w:p>
    <w:p w14:paraId="47852177" w14:textId="5BEEF8FD" w:rsidR="005E39BA" w:rsidRPr="005E39BA" w:rsidRDefault="005E39BA" w:rsidP="005E39BA">
      <w:pPr>
        <w:spacing w:before="240" w:after="240"/>
        <w:rPr>
          <w:rFonts w:ascii="Calibri" w:eastAsia="Calibri" w:hAnsi="Calibri" w:cs="Calibri"/>
        </w:rPr>
      </w:pPr>
      <w:r w:rsidRPr="005E39BA">
        <w:rPr>
          <w:rFonts w:ascii="Calibri" w:eastAsia="Calibri" w:hAnsi="Calibri" w:cs="Calibri"/>
        </w:rPr>
        <w:t>The 202</w:t>
      </w:r>
      <w:r w:rsidR="0072470B">
        <w:rPr>
          <w:rFonts w:ascii="Calibri" w:eastAsia="Calibri" w:hAnsi="Calibri" w:cs="Calibri"/>
        </w:rPr>
        <w:t>6</w:t>
      </w:r>
      <w:r w:rsidRPr="005E39BA">
        <w:rPr>
          <w:rFonts w:ascii="Calibri" w:eastAsia="Calibri" w:hAnsi="Calibri" w:cs="Calibri"/>
        </w:rPr>
        <w:t>–2028 Brookings Communities That Care (CTC) Community Action Plan outlines a coordinated, evidence-based strategy designed to strengthen youth well-being and reduce risk factors impacting young people in the Brookings community. Communities That Care is a nationally recognized prevention framework developed to help communities identify and address the underlying conditions that influence youth outcomes. Through a structured, data-driven process, the framework focuses on reducing risk factors while strengthening protective factors that support healthy development, positive relationships, school engagement, and long-term success.</w:t>
      </w:r>
    </w:p>
    <w:p w14:paraId="5961B5CF" w14:textId="77777777" w:rsidR="005E39BA" w:rsidRPr="005E39BA" w:rsidRDefault="005E39BA" w:rsidP="005E39BA">
      <w:pPr>
        <w:spacing w:before="240" w:after="240"/>
        <w:rPr>
          <w:rFonts w:ascii="Calibri" w:eastAsia="Calibri" w:hAnsi="Calibri" w:cs="Calibri"/>
        </w:rPr>
      </w:pPr>
      <w:r w:rsidRPr="005E39BA">
        <w:rPr>
          <w:rFonts w:ascii="Calibri" w:eastAsia="Calibri" w:hAnsi="Calibri" w:cs="Calibri"/>
        </w:rPr>
        <w:t>Brookings launched the CTC initiative in Fall 2024 through a collaborative effort involving public and private organizations, local government, schools, healthcare providers, businesses, nonprofit organizations, law enforcement, parents, and community members. The Brookings CTC Community Board was formed to guide the process and ensure broad community representation and shared ownership of prevention efforts. Key partnerships with the Brookings School District and the Brookings Area United Way played a central role in coordinating data collection, stakeholder engagement, and community planning activities.</w:t>
      </w:r>
    </w:p>
    <w:p w14:paraId="1488AF67" w14:textId="77777777" w:rsidR="005E39BA" w:rsidRPr="005E39BA" w:rsidRDefault="005E39BA" w:rsidP="005E39BA">
      <w:pPr>
        <w:spacing w:before="240" w:after="240"/>
        <w:rPr>
          <w:rFonts w:ascii="Calibri" w:eastAsia="Calibri" w:hAnsi="Calibri" w:cs="Calibri"/>
        </w:rPr>
      </w:pPr>
      <w:r w:rsidRPr="005E39BA">
        <w:rPr>
          <w:rFonts w:ascii="Calibri" w:eastAsia="Calibri" w:hAnsi="Calibri" w:cs="Calibri"/>
        </w:rPr>
        <w:t>The Action Plan is grounded in extensive local data and prevention science. The primary source of information was the 2024 SEARCH Institute Youth Survey administered to students in grades 6–12 within the Brookings School District, supplemented by public indicators and community input. The assessment process examined youth behaviors, community conditions, and existing prevention resources to identify priority areas for action.</w:t>
      </w:r>
    </w:p>
    <w:p w14:paraId="5ABDB6CB" w14:textId="77777777" w:rsidR="005E39BA" w:rsidRPr="005E39BA" w:rsidRDefault="005E39BA" w:rsidP="005E39BA">
      <w:pPr>
        <w:spacing w:before="240" w:after="240"/>
        <w:rPr>
          <w:rFonts w:ascii="Calibri" w:eastAsia="Calibri" w:hAnsi="Calibri" w:cs="Calibri"/>
        </w:rPr>
      </w:pPr>
      <w:r w:rsidRPr="005E39BA">
        <w:rPr>
          <w:rFonts w:ascii="Calibri" w:eastAsia="Calibri" w:hAnsi="Calibri" w:cs="Calibri"/>
        </w:rPr>
        <w:t>Through this assessment, Brookings identified two key risk factors requiring focused prevention efforts:</w:t>
      </w:r>
    </w:p>
    <w:p w14:paraId="3B1A6250" w14:textId="77777777" w:rsidR="005E39BA" w:rsidRPr="005E39BA" w:rsidRDefault="005E39BA" w:rsidP="005E39BA">
      <w:pPr>
        <w:numPr>
          <w:ilvl w:val="0"/>
          <w:numId w:val="8"/>
        </w:numPr>
        <w:spacing w:before="240" w:after="240"/>
        <w:rPr>
          <w:rFonts w:ascii="Calibri" w:eastAsia="Calibri" w:hAnsi="Calibri" w:cs="Calibri"/>
        </w:rPr>
      </w:pPr>
      <w:r w:rsidRPr="005E39BA">
        <w:rPr>
          <w:rFonts w:ascii="Calibri" w:eastAsia="Calibri" w:hAnsi="Calibri" w:cs="Calibri"/>
          <w:b/>
          <w:bCs/>
        </w:rPr>
        <w:t>Elevated Absenteeism:</w:t>
      </w:r>
      <w:r w:rsidRPr="005E39BA">
        <w:rPr>
          <w:rFonts w:ascii="Calibri" w:eastAsia="Calibri" w:hAnsi="Calibri" w:cs="Calibri"/>
        </w:rPr>
        <w:t xml:space="preserve"> Attendance data showed increasing absenteeism among middle and high school students, indicating growing school disengagement and increased vulnerability to negative academic, behavioral, and social outcomes. </w:t>
      </w:r>
    </w:p>
    <w:p w14:paraId="352024BF" w14:textId="0DDF4340" w:rsidR="005E39BA" w:rsidRPr="007F677A" w:rsidRDefault="005E39BA" w:rsidP="005E39BA">
      <w:pPr>
        <w:numPr>
          <w:ilvl w:val="0"/>
          <w:numId w:val="8"/>
        </w:numPr>
        <w:spacing w:before="240" w:after="240"/>
        <w:rPr>
          <w:rFonts w:ascii="Calibri" w:eastAsia="Calibri" w:hAnsi="Calibri" w:cs="Calibri"/>
        </w:rPr>
      </w:pPr>
      <w:r w:rsidRPr="005E39BA">
        <w:rPr>
          <w:rFonts w:ascii="Calibri" w:eastAsia="Calibri" w:hAnsi="Calibri" w:cs="Calibri"/>
          <w:b/>
          <w:bCs/>
        </w:rPr>
        <w:t>Low Neighborhood Attachment and Community Disorganization:</w:t>
      </w:r>
      <w:r w:rsidRPr="005E39BA">
        <w:rPr>
          <w:rFonts w:ascii="Calibri" w:eastAsia="Calibri" w:hAnsi="Calibri" w:cs="Calibri"/>
        </w:rPr>
        <w:t xml:space="preserve"> Survey findings revealed that many youth feel disconnected from the broader community and lack a strong sense of belonging, support, and connection to caring adults and community institutions. </w:t>
      </w:r>
    </w:p>
    <w:p w14:paraId="214F7382" w14:textId="625A168E" w:rsidR="005E39BA" w:rsidRPr="005E39BA" w:rsidRDefault="005E39BA" w:rsidP="005E39BA">
      <w:pPr>
        <w:spacing w:before="240" w:after="240"/>
        <w:rPr>
          <w:rFonts w:ascii="Calibri" w:eastAsia="Calibri" w:hAnsi="Calibri" w:cs="Calibri"/>
        </w:rPr>
      </w:pPr>
      <w:r w:rsidRPr="005E39BA">
        <w:rPr>
          <w:rFonts w:ascii="Calibri" w:eastAsia="Calibri" w:hAnsi="Calibri" w:cs="Calibri"/>
        </w:rPr>
        <w:lastRenderedPageBreak/>
        <w:t>The assessment also identified two protective factors that scored notably low among Brookings youth:</w:t>
      </w:r>
    </w:p>
    <w:p w14:paraId="000F0A16" w14:textId="77777777" w:rsidR="005E39BA" w:rsidRPr="005E39BA" w:rsidRDefault="005E39BA" w:rsidP="005E39BA">
      <w:pPr>
        <w:numPr>
          <w:ilvl w:val="0"/>
          <w:numId w:val="9"/>
        </w:numPr>
        <w:spacing w:before="240" w:after="240"/>
        <w:rPr>
          <w:rFonts w:ascii="Calibri" w:eastAsia="Calibri" w:hAnsi="Calibri" w:cs="Calibri"/>
        </w:rPr>
      </w:pPr>
      <w:r w:rsidRPr="005E39BA">
        <w:rPr>
          <w:rFonts w:ascii="Calibri" w:eastAsia="Calibri" w:hAnsi="Calibri" w:cs="Calibri"/>
          <w:b/>
          <w:bCs/>
        </w:rPr>
        <w:t>Youth Empowerment:</w:t>
      </w:r>
      <w:r w:rsidRPr="005E39BA">
        <w:rPr>
          <w:rFonts w:ascii="Calibri" w:eastAsia="Calibri" w:hAnsi="Calibri" w:cs="Calibri"/>
        </w:rPr>
        <w:t xml:space="preserve"> Many students reported feeling undervalued by the community and lacking opportunities to contribute, lead, or participate in meaningful decision-making. </w:t>
      </w:r>
    </w:p>
    <w:p w14:paraId="5C02A8E2" w14:textId="77777777" w:rsidR="005E39BA" w:rsidRPr="005E39BA" w:rsidRDefault="005E39BA" w:rsidP="005E39BA">
      <w:pPr>
        <w:numPr>
          <w:ilvl w:val="0"/>
          <w:numId w:val="9"/>
        </w:numPr>
        <w:spacing w:before="240" w:after="240"/>
        <w:rPr>
          <w:rFonts w:ascii="Calibri" w:eastAsia="Calibri" w:hAnsi="Calibri" w:cs="Calibri"/>
        </w:rPr>
      </w:pPr>
      <w:r w:rsidRPr="005E39BA">
        <w:rPr>
          <w:rFonts w:ascii="Calibri" w:eastAsia="Calibri" w:hAnsi="Calibri" w:cs="Calibri"/>
          <w:b/>
          <w:bCs/>
        </w:rPr>
        <w:t>Constructive Use of Time:</w:t>
      </w:r>
      <w:r w:rsidRPr="005E39BA">
        <w:rPr>
          <w:rFonts w:ascii="Calibri" w:eastAsia="Calibri" w:hAnsi="Calibri" w:cs="Calibri"/>
        </w:rPr>
        <w:t xml:space="preserve"> A significant number of youth indicated limited involvement in structured, positive activities such as mentoring programs, clubs, volunteering, and other developmental opportunities. </w:t>
      </w:r>
    </w:p>
    <w:p w14:paraId="6D15DD76" w14:textId="12B25179" w:rsidR="005E39BA" w:rsidRPr="005E39BA" w:rsidRDefault="005E39BA" w:rsidP="005E39BA">
      <w:pPr>
        <w:spacing w:before="240" w:after="240"/>
        <w:rPr>
          <w:rFonts w:ascii="Calibri" w:eastAsia="Calibri" w:hAnsi="Calibri" w:cs="Calibri"/>
        </w:rPr>
      </w:pPr>
      <w:r w:rsidRPr="005E39BA">
        <w:rPr>
          <w:rFonts w:ascii="Calibri" w:eastAsia="Calibri" w:hAnsi="Calibri" w:cs="Calibri"/>
        </w:rPr>
        <w:t xml:space="preserve">To address these priorities, the Brookings CTC Board selected two evidence-based </w:t>
      </w:r>
      <w:r w:rsidR="008B4853">
        <w:rPr>
          <w:rFonts w:ascii="Calibri" w:eastAsia="Calibri" w:hAnsi="Calibri" w:cs="Calibri"/>
        </w:rPr>
        <w:t xml:space="preserve">programs </w:t>
      </w:r>
      <w:r w:rsidR="003478F6">
        <w:rPr>
          <w:rFonts w:ascii="Calibri" w:eastAsia="Calibri" w:hAnsi="Calibri" w:cs="Calibri"/>
        </w:rPr>
        <w:t xml:space="preserve">and </w:t>
      </w:r>
      <w:r w:rsidRPr="005E39BA">
        <w:rPr>
          <w:rFonts w:ascii="Calibri" w:eastAsia="Calibri" w:hAnsi="Calibri" w:cs="Calibri"/>
        </w:rPr>
        <w:t>strategies already operating within the community for expansion and enhancement:</w:t>
      </w:r>
    </w:p>
    <w:p w14:paraId="7ADDECE7" w14:textId="77777777" w:rsidR="005E39BA" w:rsidRPr="005E39BA" w:rsidRDefault="005E39BA" w:rsidP="005E39BA">
      <w:pPr>
        <w:spacing w:before="240" w:after="240"/>
        <w:rPr>
          <w:rFonts w:ascii="Calibri" w:eastAsia="Calibri" w:hAnsi="Calibri" w:cs="Calibri"/>
          <w:b/>
          <w:bCs/>
        </w:rPr>
      </w:pPr>
      <w:r w:rsidRPr="005E39BA">
        <w:rPr>
          <w:rFonts w:ascii="Calibri" w:eastAsia="Calibri" w:hAnsi="Calibri" w:cs="Calibri"/>
          <w:b/>
          <w:bCs/>
        </w:rPr>
        <w:t>Brookings County Youth Mentoring Program (BCYMP)</w:t>
      </w:r>
    </w:p>
    <w:p w14:paraId="2ED64FA2" w14:textId="77777777" w:rsidR="005E39BA" w:rsidRPr="005E39BA" w:rsidRDefault="005E39BA" w:rsidP="005E39BA">
      <w:pPr>
        <w:spacing w:before="240" w:after="240"/>
        <w:rPr>
          <w:rFonts w:ascii="Calibri" w:eastAsia="Calibri" w:hAnsi="Calibri" w:cs="Calibri"/>
        </w:rPr>
      </w:pPr>
      <w:r w:rsidRPr="005E39BA">
        <w:rPr>
          <w:rFonts w:ascii="Calibri" w:eastAsia="Calibri" w:hAnsi="Calibri" w:cs="Calibri"/>
        </w:rPr>
        <w:t>BCYMP was selected to address low neighborhood attachment and strengthen youth empowerment and constructive use of time. Through structured mentoring relationships between youth and trained adult volunteers, the program fosters positive social connections, increases youth engagement, and promotes emotional, academic, and social development. The Action Plan calls for expanding mentor recruitment, increasing mentor-mentee matches, and enhancing awareness efforts among businesses and community stakeholders.</w:t>
      </w:r>
    </w:p>
    <w:p w14:paraId="6EB9BB1D" w14:textId="77777777" w:rsidR="005E39BA" w:rsidRPr="005E39BA" w:rsidRDefault="005E39BA" w:rsidP="005E39BA">
      <w:pPr>
        <w:spacing w:before="240" w:after="240"/>
        <w:rPr>
          <w:rFonts w:ascii="Calibri" w:eastAsia="Calibri" w:hAnsi="Calibri" w:cs="Calibri"/>
          <w:b/>
          <w:bCs/>
        </w:rPr>
      </w:pPr>
      <w:r w:rsidRPr="005E39BA">
        <w:rPr>
          <w:rFonts w:ascii="Calibri" w:eastAsia="Calibri" w:hAnsi="Calibri" w:cs="Calibri"/>
          <w:b/>
          <w:bCs/>
        </w:rPr>
        <w:t>Positive Behavioral Interventions and Supports (PBIS)</w:t>
      </w:r>
    </w:p>
    <w:p w14:paraId="664C2964" w14:textId="77777777" w:rsidR="005E39BA" w:rsidRPr="005E39BA" w:rsidRDefault="005E39BA" w:rsidP="005E39BA">
      <w:pPr>
        <w:spacing w:before="240" w:after="240"/>
        <w:rPr>
          <w:rFonts w:ascii="Calibri" w:eastAsia="Calibri" w:hAnsi="Calibri" w:cs="Calibri"/>
        </w:rPr>
      </w:pPr>
      <w:r w:rsidRPr="005E39BA">
        <w:rPr>
          <w:rFonts w:ascii="Calibri" w:eastAsia="Calibri" w:hAnsi="Calibri" w:cs="Calibri"/>
        </w:rPr>
        <w:t>PBIS was selected to address elevated absenteeism and improve school climate and student engagement across the Brookings School District. PBIS is a school-wide framework that promotes positive behaviors through consistent expectations, supportive learning environments, and data-informed decision-making. Expansion efforts will focus on increasing community awareness of PBIS practices, strengthening parent and community engagement, and supporting ongoing implementation across K–12 settings.</w:t>
      </w:r>
    </w:p>
    <w:p w14:paraId="1EEE8CF6" w14:textId="21431442" w:rsidR="005E39BA" w:rsidRDefault="005E39BA" w:rsidP="005E39BA">
      <w:pPr>
        <w:spacing w:before="240" w:after="240"/>
        <w:rPr>
          <w:rFonts w:ascii="Calibri" w:eastAsia="Calibri" w:hAnsi="Calibri" w:cs="Calibri"/>
        </w:rPr>
      </w:pPr>
      <w:r w:rsidRPr="005E39BA">
        <w:rPr>
          <w:rFonts w:ascii="Calibri" w:eastAsia="Calibri" w:hAnsi="Calibri" w:cs="Calibri"/>
        </w:rPr>
        <w:t xml:space="preserve">The Action Plan establishes measurable community-level outcomes to evaluate long-term progress. These include reducing absenteeism rates among middle and high school students, increasing youth perceptions of empowerment and value within the community, and increasing participation in meaningful and constructive activities by 2030. Program-level outcomes will also measure the effectiveness of BCYMP and PBIS expansion efforts through participant </w:t>
      </w:r>
    </w:p>
    <w:p w14:paraId="12DCC3DD" w14:textId="6CB7B2F7" w:rsidR="005E39BA" w:rsidRPr="005E39BA" w:rsidRDefault="005E39BA" w:rsidP="005E39BA">
      <w:pPr>
        <w:spacing w:before="240" w:after="240"/>
        <w:rPr>
          <w:rFonts w:ascii="Calibri" w:eastAsia="Calibri" w:hAnsi="Calibri" w:cs="Calibri"/>
        </w:rPr>
      </w:pPr>
      <w:r w:rsidRPr="005E39BA">
        <w:rPr>
          <w:rFonts w:ascii="Calibri" w:eastAsia="Calibri" w:hAnsi="Calibri" w:cs="Calibri"/>
        </w:rPr>
        <w:lastRenderedPageBreak/>
        <w:t xml:space="preserve">surveys, school climate </w:t>
      </w:r>
      <w:r w:rsidR="00B50DFA">
        <w:rPr>
          <w:rFonts w:ascii="Calibri" w:eastAsia="Calibri" w:hAnsi="Calibri" w:cs="Calibri"/>
        </w:rPr>
        <w:t xml:space="preserve">survey </w:t>
      </w:r>
      <w:r w:rsidRPr="005E39BA">
        <w:rPr>
          <w:rFonts w:ascii="Calibri" w:eastAsia="Calibri" w:hAnsi="Calibri" w:cs="Calibri"/>
        </w:rPr>
        <w:t>data, mentor recruitment metrics, and community engagement indicators.</w:t>
      </w:r>
    </w:p>
    <w:p w14:paraId="3A52A34B" w14:textId="2E17022A" w:rsidR="005E39BA" w:rsidRPr="005E39BA" w:rsidRDefault="005E39BA" w:rsidP="005E39BA">
      <w:pPr>
        <w:spacing w:before="240" w:after="240"/>
        <w:rPr>
          <w:rFonts w:ascii="Calibri" w:eastAsia="Calibri" w:hAnsi="Calibri" w:cs="Calibri"/>
        </w:rPr>
      </w:pPr>
      <w:r w:rsidRPr="005E39BA">
        <w:rPr>
          <w:rFonts w:ascii="Calibri" w:eastAsia="Calibri" w:hAnsi="Calibri" w:cs="Calibri"/>
        </w:rPr>
        <w:t>In addition to program expansion, the Action Plan emphasizes the importance of systems-level coordination, sustainable funding, ongoing evaluation, and strong community partnerships. Brookings CTC identified several barriers that must be addressed, including limited evidence-based interventions related to absenteeism, inconsistent local program evaluation practices, and insufficient scale of tested and effective youth-serving programs. Recommendations include improving data collection, strengthening evaluation capacity, expanding evidence-based resources, and aligning implementation efforts with long-term sustainability goals.</w:t>
      </w:r>
    </w:p>
    <w:p w14:paraId="0F4F3BF5" w14:textId="652A12FD" w:rsidR="005E39BA" w:rsidRPr="005E39BA" w:rsidRDefault="005E39BA" w:rsidP="005E39BA">
      <w:pPr>
        <w:spacing w:before="240" w:after="240"/>
        <w:rPr>
          <w:rFonts w:ascii="Calibri" w:eastAsia="Calibri" w:hAnsi="Calibri" w:cs="Calibri"/>
        </w:rPr>
      </w:pPr>
      <w:r w:rsidRPr="005E39BA">
        <w:rPr>
          <w:rFonts w:ascii="Calibri" w:eastAsia="Calibri" w:hAnsi="Calibri" w:cs="Calibri"/>
        </w:rPr>
        <w:t xml:space="preserve">The plan also prioritizes youth engagement and leadership development </w:t>
      </w:r>
      <w:r w:rsidR="00522EF0">
        <w:rPr>
          <w:rFonts w:ascii="Calibri" w:eastAsia="Calibri" w:hAnsi="Calibri" w:cs="Calibri"/>
        </w:rPr>
        <w:t xml:space="preserve">with </w:t>
      </w:r>
      <w:r w:rsidR="00A019FC">
        <w:rPr>
          <w:rFonts w:ascii="Calibri" w:eastAsia="Calibri" w:hAnsi="Calibri" w:cs="Calibri"/>
        </w:rPr>
        <w:t xml:space="preserve">the </w:t>
      </w:r>
      <w:r w:rsidR="00586922">
        <w:rPr>
          <w:rFonts w:ascii="Calibri" w:eastAsia="Calibri" w:hAnsi="Calibri" w:cs="Calibri"/>
        </w:rPr>
        <w:t>formation</w:t>
      </w:r>
      <w:r w:rsidR="00A019FC">
        <w:rPr>
          <w:rFonts w:ascii="Calibri" w:eastAsia="Calibri" w:hAnsi="Calibri" w:cs="Calibri"/>
        </w:rPr>
        <w:t xml:space="preserve"> and engagement of a </w:t>
      </w:r>
      <w:r w:rsidR="00522EF0">
        <w:rPr>
          <w:rFonts w:ascii="Calibri" w:eastAsia="Calibri" w:hAnsi="Calibri" w:cs="Calibri"/>
        </w:rPr>
        <w:t xml:space="preserve">Youth Advisory Board (YAB), </w:t>
      </w:r>
      <w:r w:rsidRPr="005E39BA">
        <w:rPr>
          <w:rFonts w:ascii="Calibri" w:eastAsia="Calibri" w:hAnsi="Calibri" w:cs="Calibri"/>
        </w:rPr>
        <w:t>through initiatives such as youth recognition awards, volunteer recognition opportunities, and expanded youth participation in community networks and events. These efforts are intended to strengthen community connection, foster civic engagement, and build long-term investment in Brookings among local youth.</w:t>
      </w:r>
    </w:p>
    <w:p w14:paraId="6DBBD2F5" w14:textId="77777777" w:rsidR="005E39BA" w:rsidRPr="005E39BA" w:rsidRDefault="005E39BA" w:rsidP="005E39BA">
      <w:pPr>
        <w:spacing w:before="240" w:after="240"/>
        <w:rPr>
          <w:rFonts w:ascii="Calibri" w:eastAsia="Calibri" w:hAnsi="Calibri" w:cs="Calibri"/>
        </w:rPr>
      </w:pPr>
      <w:r w:rsidRPr="005E39BA">
        <w:rPr>
          <w:rFonts w:ascii="Calibri" w:eastAsia="Calibri" w:hAnsi="Calibri" w:cs="Calibri"/>
        </w:rPr>
        <w:t>To support implementation, the preliminary budget request totals $42,200 and includes funding for CTC coordination, youth mentoring expansion, PBIS awareness efforts, training, evaluation support, and community outreach activities.</w:t>
      </w:r>
    </w:p>
    <w:p w14:paraId="5999009B" w14:textId="7FF37A96" w:rsidR="005E39BA" w:rsidRPr="005E39BA" w:rsidRDefault="005E39BA" w:rsidP="005E39BA">
      <w:pPr>
        <w:spacing w:before="240" w:after="240"/>
        <w:rPr>
          <w:rFonts w:ascii="Calibri" w:eastAsia="Calibri" w:hAnsi="Calibri" w:cs="Calibri"/>
        </w:rPr>
      </w:pPr>
      <w:r w:rsidRPr="005E39BA">
        <w:rPr>
          <w:rFonts w:ascii="Calibri" w:eastAsia="Calibri" w:hAnsi="Calibri" w:cs="Calibri"/>
        </w:rPr>
        <w:t>Overall, the 202</w:t>
      </w:r>
      <w:r w:rsidR="007F677A">
        <w:rPr>
          <w:rFonts w:ascii="Calibri" w:eastAsia="Calibri" w:hAnsi="Calibri" w:cs="Calibri"/>
        </w:rPr>
        <w:t>6</w:t>
      </w:r>
      <w:r w:rsidRPr="005E39BA">
        <w:rPr>
          <w:rFonts w:ascii="Calibri" w:eastAsia="Calibri" w:hAnsi="Calibri" w:cs="Calibri"/>
        </w:rPr>
        <w:t xml:space="preserve">–2028 Brookings Communities That Care Community Action Plan serves as a comprehensive roadmap for collective community action. By aligning prevention science, local data, and cross-sector collaboration, Brookings </w:t>
      </w:r>
      <w:r w:rsidR="00074152">
        <w:rPr>
          <w:rFonts w:ascii="Calibri" w:eastAsia="Calibri" w:hAnsi="Calibri" w:cs="Calibri"/>
        </w:rPr>
        <w:t xml:space="preserve">CTC </w:t>
      </w:r>
      <w:r w:rsidRPr="005E39BA">
        <w:rPr>
          <w:rFonts w:ascii="Calibri" w:eastAsia="Calibri" w:hAnsi="Calibri" w:cs="Calibri"/>
        </w:rPr>
        <w:t xml:space="preserve">aims to create a healthier, safer, and more connected community where all youth have the opportunity to </w:t>
      </w:r>
      <w:r w:rsidR="00074152">
        <w:rPr>
          <w:rFonts w:ascii="Calibri" w:eastAsia="Calibri" w:hAnsi="Calibri" w:cs="Calibri"/>
        </w:rPr>
        <w:t xml:space="preserve">be empowered. </w:t>
      </w:r>
    </w:p>
    <w:p w14:paraId="38A846FF" w14:textId="77777777" w:rsidR="00C40C05" w:rsidRDefault="00C40C05" w:rsidP="00D25DB7">
      <w:pPr>
        <w:spacing w:before="240" w:after="240"/>
        <w:rPr>
          <w:rFonts w:ascii="Calibri" w:eastAsia="Calibri" w:hAnsi="Calibri" w:cs="Calibri"/>
        </w:rPr>
      </w:pPr>
    </w:p>
    <w:p w14:paraId="69054E85" w14:textId="5774266E" w:rsidR="00D25DB7" w:rsidRPr="00D25DB7" w:rsidRDefault="00D25DB7" w:rsidP="00D25DB7">
      <w:pPr>
        <w:spacing w:before="240" w:after="240"/>
        <w:rPr>
          <w:rFonts w:ascii="Calibri" w:eastAsia="Calibri" w:hAnsi="Calibri" w:cs="Calibri"/>
        </w:rPr>
      </w:pPr>
      <w:r>
        <w:rPr>
          <w:rFonts w:ascii="Calibri" w:eastAsia="Calibri" w:hAnsi="Calibri" w:cs="Calibri"/>
        </w:rPr>
        <w:t xml:space="preserve">For the full </w:t>
      </w:r>
      <w:r w:rsidR="00C66F49">
        <w:rPr>
          <w:rFonts w:ascii="Calibri" w:eastAsia="Calibri" w:hAnsi="Calibri" w:cs="Calibri"/>
        </w:rPr>
        <w:t>Action Plan</w:t>
      </w:r>
      <w:r>
        <w:rPr>
          <w:rFonts w:ascii="Calibri" w:eastAsia="Calibri" w:hAnsi="Calibri" w:cs="Calibri"/>
        </w:rPr>
        <w:t xml:space="preserve">, please visit: </w:t>
      </w:r>
      <w:hyperlink r:id="rId10" w:history="1">
        <w:r w:rsidR="00C40C05" w:rsidRPr="00CD46D1">
          <w:rPr>
            <w:rStyle w:val="Hyperlink"/>
            <w:rFonts w:ascii="Calibri" w:eastAsia="Calibri" w:hAnsi="Calibri" w:cs="Calibri"/>
          </w:rPr>
          <w:t>https://brookingsunitedway.org/ctc/</w:t>
        </w:r>
      </w:hyperlink>
      <w:r w:rsidR="00C40C05">
        <w:rPr>
          <w:rFonts w:ascii="Calibri" w:eastAsia="Calibri" w:hAnsi="Calibri" w:cs="Calibri"/>
        </w:rPr>
        <w:t xml:space="preserve"> </w:t>
      </w:r>
    </w:p>
    <w:sectPr w:rsidR="00D25DB7" w:rsidRPr="00D25DB7" w:rsidSect="005E39B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7F9EB" w14:textId="77777777" w:rsidR="001E0BCD" w:rsidRDefault="001E0BCD" w:rsidP="00D25DB7">
      <w:pPr>
        <w:spacing w:after="0" w:line="240" w:lineRule="auto"/>
      </w:pPr>
      <w:r>
        <w:separator/>
      </w:r>
    </w:p>
  </w:endnote>
  <w:endnote w:type="continuationSeparator" w:id="0">
    <w:p w14:paraId="70C2700C" w14:textId="77777777" w:rsidR="001E0BCD" w:rsidRDefault="001E0BCD" w:rsidP="00D25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029855"/>
      <w:docPartObj>
        <w:docPartGallery w:val="Page Numbers (Bottom of Page)"/>
        <w:docPartUnique/>
      </w:docPartObj>
    </w:sdtPr>
    <w:sdtEndPr>
      <w:rPr>
        <w:color w:val="7F7F7F" w:themeColor="background1" w:themeShade="7F"/>
        <w:spacing w:val="60"/>
      </w:rPr>
    </w:sdtEndPr>
    <w:sdtContent>
      <w:p w14:paraId="5A794344" w14:textId="15D1C1B8" w:rsidR="005E39BA" w:rsidRDefault="005E39B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7FA5926" w14:textId="77777777" w:rsidR="005E39BA" w:rsidRDefault="005E3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6555" w14:textId="77777777" w:rsidR="001E0BCD" w:rsidRDefault="001E0BCD" w:rsidP="00D25DB7">
      <w:pPr>
        <w:spacing w:after="0" w:line="240" w:lineRule="auto"/>
      </w:pPr>
      <w:r>
        <w:separator/>
      </w:r>
    </w:p>
  </w:footnote>
  <w:footnote w:type="continuationSeparator" w:id="0">
    <w:p w14:paraId="7EE9E1DC" w14:textId="77777777" w:rsidR="001E0BCD" w:rsidRDefault="001E0BCD" w:rsidP="00D25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62C9" w14:textId="0EC3EE63" w:rsidR="00D25DB7" w:rsidRPr="005B0881" w:rsidRDefault="002F3DA2" w:rsidP="007F677A">
    <w:pPr>
      <w:ind w:firstLine="720"/>
      <w:jc w:val="right"/>
      <w:rPr>
        <w:rFonts w:ascii="Calibri" w:hAnsi="Calibri" w:cs="Calibri"/>
        <w:bCs/>
        <w:sz w:val="20"/>
        <w:szCs w:val="20"/>
      </w:rPr>
    </w:pPr>
    <w:r>
      <w:rPr>
        <w:b/>
        <w:noProof/>
        <w:sz w:val="20"/>
        <w:szCs w:val="20"/>
        <w14:ligatures w14:val="standardContextual"/>
      </w:rPr>
      <w:drawing>
        <wp:anchor distT="0" distB="0" distL="114300" distR="114300" simplePos="0" relativeHeight="251658240" behindDoc="0" locked="0" layoutInCell="1" allowOverlap="1" wp14:anchorId="6F60EBF7" wp14:editId="2D3DAFD1">
          <wp:simplePos x="0" y="0"/>
          <wp:positionH relativeFrom="column">
            <wp:posOffset>-68580</wp:posOffset>
          </wp:positionH>
          <wp:positionV relativeFrom="paragraph">
            <wp:posOffset>-541020</wp:posOffset>
          </wp:positionV>
          <wp:extent cx="1280160" cy="1280160"/>
          <wp:effectExtent l="0" t="0" r="0" b="0"/>
          <wp:wrapSquare wrapText="bothSides"/>
          <wp:docPr id="1614942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42444" name="Picture 1614942444"/>
                  <pic:cNvPicPr/>
                </pic:nvPicPr>
                <pic:blipFill>
                  <a:blip r:embed="rId1">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14:sizeRelH relativeFrom="margin">
            <wp14:pctWidth>0</wp14:pctWidth>
          </wp14:sizeRelH>
          <wp14:sizeRelV relativeFrom="margin">
            <wp14:pctHeight>0</wp14:pctHeight>
          </wp14:sizeRelV>
        </wp:anchor>
      </w:drawing>
    </w:r>
    <w:r w:rsidR="0072470B">
      <w:rPr>
        <w:b/>
        <w:sz w:val="20"/>
        <w:szCs w:val="20"/>
      </w:rPr>
      <w:t xml:space="preserve">  </w:t>
    </w:r>
    <w:r w:rsidR="00D25DB7" w:rsidRPr="005B0881">
      <w:rPr>
        <w:rFonts w:ascii="Calibri" w:hAnsi="Calibri" w:cs="Calibri"/>
        <w:bCs/>
        <w:sz w:val="20"/>
        <w:szCs w:val="20"/>
      </w:rPr>
      <w:t>Brookings Communities That Care (CTC)</w:t>
    </w:r>
  </w:p>
  <w:p w14:paraId="1F1B232D" w14:textId="20B58F96" w:rsidR="00D25DB7" w:rsidRPr="005B0881" w:rsidRDefault="00DF34CF" w:rsidP="00D25DB7">
    <w:pPr>
      <w:jc w:val="right"/>
      <w:rPr>
        <w:rFonts w:ascii="Calibri" w:hAnsi="Calibri" w:cs="Calibri"/>
        <w:bCs/>
        <w:sz w:val="20"/>
        <w:szCs w:val="20"/>
      </w:rPr>
    </w:pPr>
    <w:r w:rsidRPr="005B0881">
      <w:rPr>
        <w:rFonts w:ascii="Calibri" w:hAnsi="Calibri" w:cs="Calibri"/>
        <w:bCs/>
        <w:sz w:val="20"/>
        <w:szCs w:val="20"/>
      </w:rPr>
      <w:t>202</w:t>
    </w:r>
    <w:r w:rsidR="002F3DA2" w:rsidRPr="005B0881">
      <w:rPr>
        <w:rFonts w:ascii="Calibri" w:hAnsi="Calibri" w:cs="Calibri"/>
        <w:bCs/>
        <w:sz w:val="20"/>
        <w:szCs w:val="20"/>
      </w:rPr>
      <w:t xml:space="preserve">6 – 2028 Action Plan </w:t>
    </w:r>
    <w:r w:rsidR="00103C32" w:rsidRPr="005B0881">
      <w:rPr>
        <w:rFonts w:ascii="Calibri" w:hAnsi="Calibri" w:cs="Calibri"/>
        <w:bCs/>
        <w:sz w:val="20"/>
        <w:szCs w:val="20"/>
      </w:rPr>
      <w:t>Executive Summary</w:t>
    </w:r>
  </w:p>
  <w:p w14:paraId="6A71CE4B" w14:textId="3BED16F5" w:rsidR="00D25DB7" w:rsidRDefault="00D25DB7" w:rsidP="00D25DB7">
    <w:pPr>
      <w:pStyle w:val="Header"/>
      <w:tabs>
        <w:tab w:val="clear" w:pos="4680"/>
        <w:tab w:val="clear" w:pos="9360"/>
        <w:tab w:val="right" w:pos="55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1637"/>
    <w:multiLevelType w:val="hybridMultilevel"/>
    <w:tmpl w:val="F7D8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8301B"/>
    <w:multiLevelType w:val="hybridMultilevel"/>
    <w:tmpl w:val="5FFCD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77780F"/>
    <w:multiLevelType w:val="multilevel"/>
    <w:tmpl w:val="3A567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EE1331"/>
    <w:multiLevelType w:val="hybridMultilevel"/>
    <w:tmpl w:val="0D64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4E2E03"/>
    <w:multiLevelType w:val="multilevel"/>
    <w:tmpl w:val="D5EAE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1A37704"/>
    <w:multiLevelType w:val="multilevel"/>
    <w:tmpl w:val="5B18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89664C"/>
    <w:multiLevelType w:val="multilevel"/>
    <w:tmpl w:val="686C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955BF4"/>
    <w:multiLevelType w:val="multilevel"/>
    <w:tmpl w:val="F4B20B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BD274EE"/>
    <w:multiLevelType w:val="hybridMultilevel"/>
    <w:tmpl w:val="5C3E2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92045084">
    <w:abstractNumId w:val="2"/>
  </w:num>
  <w:num w:numId="2" w16cid:durableId="1918048471">
    <w:abstractNumId w:val="4"/>
  </w:num>
  <w:num w:numId="3" w16cid:durableId="1187937633">
    <w:abstractNumId w:val="3"/>
  </w:num>
  <w:num w:numId="4" w16cid:durableId="759063748">
    <w:abstractNumId w:val="8"/>
  </w:num>
  <w:num w:numId="5" w16cid:durableId="1861703585">
    <w:abstractNumId w:val="0"/>
  </w:num>
  <w:num w:numId="6" w16cid:durableId="1248803020">
    <w:abstractNumId w:val="1"/>
  </w:num>
  <w:num w:numId="7" w16cid:durableId="1665623520">
    <w:abstractNumId w:val="7"/>
  </w:num>
  <w:num w:numId="8" w16cid:durableId="1189948581">
    <w:abstractNumId w:val="5"/>
  </w:num>
  <w:num w:numId="9" w16cid:durableId="10886481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B7"/>
    <w:rsid w:val="00074152"/>
    <w:rsid w:val="000B5CFD"/>
    <w:rsid w:val="00103C32"/>
    <w:rsid w:val="00147E18"/>
    <w:rsid w:val="00180BC5"/>
    <w:rsid w:val="001E0BCD"/>
    <w:rsid w:val="00212531"/>
    <w:rsid w:val="00235168"/>
    <w:rsid w:val="002721C4"/>
    <w:rsid w:val="002B41E7"/>
    <w:rsid w:val="002D27B8"/>
    <w:rsid w:val="002F3DA2"/>
    <w:rsid w:val="003478F6"/>
    <w:rsid w:val="003677EC"/>
    <w:rsid w:val="00392106"/>
    <w:rsid w:val="003E1EB2"/>
    <w:rsid w:val="00522EF0"/>
    <w:rsid w:val="00570B79"/>
    <w:rsid w:val="00586922"/>
    <w:rsid w:val="005A3E1B"/>
    <w:rsid w:val="005A65D8"/>
    <w:rsid w:val="005B0881"/>
    <w:rsid w:val="005C1FD9"/>
    <w:rsid w:val="005E39BA"/>
    <w:rsid w:val="00604D7A"/>
    <w:rsid w:val="00641B13"/>
    <w:rsid w:val="006D0095"/>
    <w:rsid w:val="00704896"/>
    <w:rsid w:val="007163DD"/>
    <w:rsid w:val="0072470B"/>
    <w:rsid w:val="007D1740"/>
    <w:rsid w:val="007F677A"/>
    <w:rsid w:val="00820F8A"/>
    <w:rsid w:val="00880EAA"/>
    <w:rsid w:val="008A1A3F"/>
    <w:rsid w:val="008B4853"/>
    <w:rsid w:val="008B770B"/>
    <w:rsid w:val="009067DB"/>
    <w:rsid w:val="009242A1"/>
    <w:rsid w:val="00946B78"/>
    <w:rsid w:val="00955D61"/>
    <w:rsid w:val="0097705B"/>
    <w:rsid w:val="009C7E67"/>
    <w:rsid w:val="009D345E"/>
    <w:rsid w:val="00A019FC"/>
    <w:rsid w:val="00B34326"/>
    <w:rsid w:val="00B417AB"/>
    <w:rsid w:val="00B50DFA"/>
    <w:rsid w:val="00B53150"/>
    <w:rsid w:val="00BC430A"/>
    <w:rsid w:val="00BC69FA"/>
    <w:rsid w:val="00BD6EFD"/>
    <w:rsid w:val="00BE1095"/>
    <w:rsid w:val="00C37852"/>
    <w:rsid w:val="00C40C05"/>
    <w:rsid w:val="00C545E2"/>
    <w:rsid w:val="00C66433"/>
    <w:rsid w:val="00C66F49"/>
    <w:rsid w:val="00C750AD"/>
    <w:rsid w:val="00C90E31"/>
    <w:rsid w:val="00C91218"/>
    <w:rsid w:val="00CA4AD9"/>
    <w:rsid w:val="00CD7996"/>
    <w:rsid w:val="00D052A0"/>
    <w:rsid w:val="00D10C3D"/>
    <w:rsid w:val="00D25DB7"/>
    <w:rsid w:val="00D4279A"/>
    <w:rsid w:val="00DA1A4B"/>
    <w:rsid w:val="00DC4E55"/>
    <w:rsid w:val="00DE04D0"/>
    <w:rsid w:val="00DF34CF"/>
    <w:rsid w:val="00E20C03"/>
    <w:rsid w:val="00E51279"/>
    <w:rsid w:val="00EB2F71"/>
    <w:rsid w:val="00F30D63"/>
    <w:rsid w:val="00F52055"/>
    <w:rsid w:val="00F6287F"/>
    <w:rsid w:val="00F9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1DDF1"/>
  <w15:chartTrackingRefBased/>
  <w15:docId w15:val="{BA9A5EC4-3AF1-4619-947F-089FAEAEC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DB7"/>
    <w:rPr>
      <w:rFonts w:ascii="Aptos" w:eastAsia="Aptos" w:hAnsi="Aptos" w:cs="Aptos"/>
      <w:kern w:val="0"/>
      <w14:ligatures w14:val="none"/>
    </w:rPr>
  </w:style>
  <w:style w:type="paragraph" w:styleId="Heading1">
    <w:name w:val="heading 1"/>
    <w:basedOn w:val="Normal"/>
    <w:next w:val="Normal"/>
    <w:link w:val="Heading1Char"/>
    <w:uiPriority w:val="9"/>
    <w:qFormat/>
    <w:rsid w:val="00D25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D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D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D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D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D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D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D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D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D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D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D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D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DB7"/>
    <w:rPr>
      <w:rFonts w:eastAsiaTheme="majorEastAsia" w:cstheme="majorBidi"/>
      <w:color w:val="272727" w:themeColor="text1" w:themeTint="D8"/>
    </w:rPr>
  </w:style>
  <w:style w:type="paragraph" w:styleId="Title">
    <w:name w:val="Title"/>
    <w:basedOn w:val="Normal"/>
    <w:next w:val="Normal"/>
    <w:link w:val="TitleChar"/>
    <w:uiPriority w:val="10"/>
    <w:qFormat/>
    <w:rsid w:val="00D25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D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DB7"/>
    <w:pPr>
      <w:spacing w:before="160"/>
      <w:jc w:val="center"/>
    </w:pPr>
    <w:rPr>
      <w:i/>
      <w:iCs/>
      <w:color w:val="404040" w:themeColor="text1" w:themeTint="BF"/>
    </w:rPr>
  </w:style>
  <w:style w:type="character" w:customStyle="1" w:styleId="QuoteChar">
    <w:name w:val="Quote Char"/>
    <w:basedOn w:val="DefaultParagraphFont"/>
    <w:link w:val="Quote"/>
    <w:uiPriority w:val="29"/>
    <w:rsid w:val="00D25DB7"/>
    <w:rPr>
      <w:i/>
      <w:iCs/>
      <w:color w:val="404040" w:themeColor="text1" w:themeTint="BF"/>
    </w:rPr>
  </w:style>
  <w:style w:type="paragraph" w:styleId="ListParagraph">
    <w:name w:val="List Paragraph"/>
    <w:basedOn w:val="Normal"/>
    <w:uiPriority w:val="34"/>
    <w:qFormat/>
    <w:rsid w:val="00D25DB7"/>
    <w:pPr>
      <w:ind w:left="720"/>
      <w:contextualSpacing/>
    </w:pPr>
  </w:style>
  <w:style w:type="character" w:styleId="IntenseEmphasis">
    <w:name w:val="Intense Emphasis"/>
    <w:basedOn w:val="DefaultParagraphFont"/>
    <w:uiPriority w:val="21"/>
    <w:qFormat/>
    <w:rsid w:val="00D25DB7"/>
    <w:rPr>
      <w:i/>
      <w:iCs/>
      <w:color w:val="0F4761" w:themeColor="accent1" w:themeShade="BF"/>
    </w:rPr>
  </w:style>
  <w:style w:type="paragraph" w:styleId="IntenseQuote">
    <w:name w:val="Intense Quote"/>
    <w:basedOn w:val="Normal"/>
    <w:next w:val="Normal"/>
    <w:link w:val="IntenseQuoteChar"/>
    <w:uiPriority w:val="30"/>
    <w:qFormat/>
    <w:rsid w:val="00D25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DB7"/>
    <w:rPr>
      <w:i/>
      <w:iCs/>
      <w:color w:val="0F4761" w:themeColor="accent1" w:themeShade="BF"/>
    </w:rPr>
  </w:style>
  <w:style w:type="character" w:styleId="IntenseReference">
    <w:name w:val="Intense Reference"/>
    <w:basedOn w:val="DefaultParagraphFont"/>
    <w:uiPriority w:val="32"/>
    <w:qFormat/>
    <w:rsid w:val="00D25DB7"/>
    <w:rPr>
      <w:b/>
      <w:bCs/>
      <w:smallCaps/>
      <w:color w:val="0F4761" w:themeColor="accent1" w:themeShade="BF"/>
      <w:spacing w:val="5"/>
    </w:rPr>
  </w:style>
  <w:style w:type="paragraph" w:styleId="Header">
    <w:name w:val="header"/>
    <w:basedOn w:val="Normal"/>
    <w:link w:val="HeaderChar"/>
    <w:uiPriority w:val="99"/>
    <w:unhideWhenUsed/>
    <w:rsid w:val="00D25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DB7"/>
    <w:rPr>
      <w:rFonts w:ascii="Aptos" w:eastAsia="Aptos" w:hAnsi="Aptos" w:cs="Aptos"/>
      <w:kern w:val="0"/>
      <w14:ligatures w14:val="none"/>
    </w:rPr>
  </w:style>
  <w:style w:type="paragraph" w:styleId="Footer">
    <w:name w:val="footer"/>
    <w:basedOn w:val="Normal"/>
    <w:link w:val="FooterChar"/>
    <w:uiPriority w:val="99"/>
    <w:unhideWhenUsed/>
    <w:rsid w:val="00D25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DB7"/>
    <w:rPr>
      <w:rFonts w:ascii="Aptos" w:eastAsia="Aptos" w:hAnsi="Aptos" w:cs="Aptos"/>
      <w:kern w:val="0"/>
      <w14:ligatures w14:val="none"/>
    </w:rPr>
  </w:style>
  <w:style w:type="character" w:styleId="Hyperlink">
    <w:name w:val="Hyperlink"/>
    <w:basedOn w:val="DefaultParagraphFont"/>
    <w:uiPriority w:val="99"/>
    <w:unhideWhenUsed/>
    <w:rsid w:val="00C40C05"/>
    <w:rPr>
      <w:color w:val="467886" w:themeColor="hyperlink"/>
      <w:u w:val="single"/>
    </w:rPr>
  </w:style>
  <w:style w:type="character" w:styleId="UnresolvedMention">
    <w:name w:val="Unresolved Mention"/>
    <w:basedOn w:val="DefaultParagraphFont"/>
    <w:uiPriority w:val="99"/>
    <w:semiHidden/>
    <w:unhideWhenUsed/>
    <w:rsid w:val="00C40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brookingsunitedway.org/ct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767FFD18D6B248B587A20B460604E3" ma:contentTypeVersion="19" ma:contentTypeDescription="Create a new document." ma:contentTypeScope="" ma:versionID="f050376c61a2a095d9043f4a6c71a169">
  <xsd:schema xmlns:xsd="http://www.w3.org/2001/XMLSchema" xmlns:xs="http://www.w3.org/2001/XMLSchema" xmlns:p="http://schemas.microsoft.com/office/2006/metadata/properties" xmlns:ns2="328ccb31-45e8-49ef-a553-c80f8e7b1472" xmlns:ns3="aa433fb2-ea33-42de-a9e5-592d733b5e42" targetNamespace="http://schemas.microsoft.com/office/2006/metadata/properties" ma:root="true" ma:fieldsID="53faf3ce65248e964e571c68880210a2" ns2:_="" ns3:_="">
    <xsd:import namespace="328ccb31-45e8-49ef-a553-c80f8e7b1472"/>
    <xsd:import namespace="aa433fb2-ea33-42de-a9e5-592d733b5e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ccb31-45e8-49ef-a553-c80f8e7b1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b20a56-451e-4a9f-93d9-426c3b0b5c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33fb2-ea33-42de-a9e5-592d733b5e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7858b2-35c6-45db-8298-2d4727529330}" ma:internalName="TaxCatchAll" ma:showField="CatchAllData" ma:web="aa433fb2-ea33-42de-a9e5-592d733b5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8ccb31-45e8-49ef-a553-c80f8e7b1472">
      <Terms xmlns="http://schemas.microsoft.com/office/infopath/2007/PartnerControls"/>
    </lcf76f155ced4ddcb4097134ff3c332f>
    <TaxCatchAll xmlns="aa433fb2-ea33-42de-a9e5-592d733b5e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212D74-18ED-43DE-9BF5-81B5C8C3C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ccb31-45e8-49ef-a553-c80f8e7b1472"/>
    <ds:schemaRef ds:uri="aa433fb2-ea33-42de-a9e5-592d733b5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9A5B2-C43A-44BC-BF85-E6B742D79DE8}">
  <ds:schemaRefs>
    <ds:schemaRef ds:uri="http://schemas.microsoft.com/office/2006/metadata/properties"/>
    <ds:schemaRef ds:uri="http://schemas.microsoft.com/office/infopath/2007/PartnerControls"/>
    <ds:schemaRef ds:uri="328ccb31-45e8-49ef-a553-c80f8e7b1472"/>
    <ds:schemaRef ds:uri="aa433fb2-ea33-42de-a9e5-592d733b5e42"/>
  </ds:schemaRefs>
</ds:datastoreItem>
</file>

<file path=customXml/itemProps3.xml><?xml version="1.0" encoding="utf-8"?>
<ds:datastoreItem xmlns:ds="http://schemas.openxmlformats.org/officeDocument/2006/customXml" ds:itemID="{7BFC623F-B969-4ED6-A516-7E32B36398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Tehra Nelson</dc:creator>
  <cp:keywords/>
  <dc:description/>
  <cp:lastModifiedBy>Tehra Nelson</cp:lastModifiedBy>
  <cp:revision>17</cp:revision>
  <dcterms:created xsi:type="dcterms:W3CDTF">2026-05-18T19:57:00Z</dcterms:created>
  <dcterms:modified xsi:type="dcterms:W3CDTF">2026-05-18T20:18:00Z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0x010100FB767FFD18D6B248B587A20B460604E3</vt:lpwstr>
  </property>
  <property fmtid="{D5CDD505-2E9C-101B-9397-08002B2CF9AE}" pid="3" name="MediaServiceImageTags">
    <vt:lpwstr/>
  </property>
</Properties>
</file>