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0CB9D7" w14:textId="1C909C2E" w:rsidR="00C03994" w:rsidRDefault="00C03994" w:rsidP="00C03994">
      <w:pPr>
        <w:spacing w:before="100" w:beforeAutospacing="1" w:after="100" w:afterAutospacing="1"/>
      </w:pPr>
      <w:r>
        <w:t xml:space="preserve">IRQSA </w:t>
      </w:r>
      <w:r>
        <w:t xml:space="preserve">co-chair Dr. Frush represented the ISR during the WHO invitation for NGOs input </w:t>
      </w:r>
      <w:r>
        <w:rPr>
          <w:color w:val="000000"/>
        </w:rPr>
        <w:t xml:space="preserve">on medical devices, IVD and radiation, on-line meeting before </w:t>
      </w:r>
      <w:r>
        <w:t>the upcoming World Health Assembly [</w:t>
      </w:r>
      <w:r>
        <w:rPr>
          <w:color w:val="000000"/>
        </w:rPr>
        <w:t>WHA77</w:t>
      </w:r>
      <w:r>
        <w:t xml:space="preserve">, </w:t>
      </w:r>
      <w:r>
        <w:rPr>
          <w:color w:val="000000"/>
        </w:rPr>
        <w:t xml:space="preserve">May 27- June 1, 2024 </w:t>
      </w:r>
      <w:hyperlink r:id="rId5" w:tgtFrame="_blank" w:history="1">
        <w:r>
          <w:rPr>
            <w:rStyle w:val="Hyperlink"/>
          </w:rPr>
          <w:t>Provisional agenda (who.int)</w:t>
        </w:r>
      </w:hyperlink>
      <w:r>
        <w:rPr>
          <w:color w:val="000000"/>
        </w:rPr>
        <w:t>]. The</w:t>
      </w:r>
      <w:r>
        <w:t xml:space="preserve"> virtual meeting took place on Monday April 29</w:t>
      </w:r>
      <w:r>
        <w:rPr>
          <w:vertAlign w:val="superscript"/>
        </w:rPr>
        <w:t>th</w:t>
      </w:r>
      <w:r>
        <w:t xml:space="preserve"> at 1300 CEST.  The agenda consisted of the following items: </w:t>
      </w:r>
    </w:p>
    <w:p w14:paraId="7A4269B5" w14:textId="77777777" w:rsidR="00C03994" w:rsidRDefault="00C03994" w:rsidP="00C03994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Topics in WHA77</w:t>
      </w:r>
    </w:p>
    <w:p w14:paraId="60DE4794" w14:textId="77777777" w:rsidR="00C03994" w:rsidRDefault="00C03994" w:rsidP="00C03994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Side Events on dx, oxygen, others during WHA77</w:t>
      </w:r>
    </w:p>
    <w:p w14:paraId="4A6CD84D" w14:textId="77777777" w:rsidR="00C03994" w:rsidRDefault="00C03994" w:rsidP="00C03994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proofErr w:type="gramStart"/>
      <w:r>
        <w:rPr>
          <w:rFonts w:eastAsia="Times New Roman"/>
        </w:rPr>
        <w:t>Non State</w:t>
      </w:r>
      <w:proofErr w:type="gramEnd"/>
      <w:r>
        <w:rPr>
          <w:rFonts w:eastAsia="Times New Roman"/>
        </w:rPr>
        <w:t xml:space="preserve"> Actors Joint statements</w:t>
      </w:r>
    </w:p>
    <w:p w14:paraId="4CB2CC27" w14:textId="77777777" w:rsidR="00C03994" w:rsidRDefault="00C03994" w:rsidP="00C03994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Confirming presence during WHA77</w:t>
      </w:r>
    </w:p>
    <w:p w14:paraId="024EC744" w14:textId="77777777" w:rsidR="00C03994" w:rsidRDefault="00C03994" w:rsidP="00C03994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General initiatives for Working </w:t>
      </w:r>
      <w:proofErr w:type="gramStart"/>
      <w:r>
        <w:rPr>
          <w:rFonts w:eastAsia="Times New Roman"/>
        </w:rPr>
        <w:t>together</w:t>
      </w:r>
      <w:proofErr w:type="gramEnd"/>
      <w:r>
        <w:rPr>
          <w:rFonts w:eastAsia="Times New Roman"/>
        </w:rPr>
        <w:t> </w:t>
      </w:r>
    </w:p>
    <w:p w14:paraId="233F400A" w14:textId="77777777" w:rsidR="00C03994" w:rsidRDefault="00C03994" w:rsidP="00C03994">
      <w:pPr>
        <w:spacing w:before="100" w:beforeAutospacing="1" w:after="100" w:afterAutospacing="1"/>
      </w:pPr>
      <w:r>
        <w:t xml:space="preserve">This meeting was largely informational. Following an introduction on the WHO staff and the representatives, a review of the WHA event ensued with details discussed by Dr. </w:t>
      </w:r>
      <w:proofErr w:type="spellStart"/>
      <w:r>
        <w:t>Shannoun</w:t>
      </w:r>
      <w:proofErr w:type="spellEnd"/>
      <w:r>
        <w:t xml:space="preserve"> with periodic input by relevant organizational representatives, mostly on </w:t>
      </w:r>
      <w:proofErr w:type="spellStart"/>
      <w:r>
        <w:t>non imaging</w:t>
      </w:r>
      <w:proofErr w:type="spellEnd"/>
      <w:r>
        <w:t xml:space="preserve"> topics. The process for preparation and presentation of statements for WHA77 was also described and a call for which organizations would have </w:t>
      </w:r>
      <w:proofErr w:type="gramStart"/>
      <w:r>
        <w:t>on site</w:t>
      </w:r>
      <w:proofErr w:type="gramEnd"/>
      <w:r>
        <w:t xml:space="preserve"> representation followed. </w:t>
      </w:r>
      <w:proofErr w:type="gramStart"/>
      <w:r>
        <w:t>At this time</w:t>
      </w:r>
      <w:proofErr w:type="gramEnd"/>
      <w:r>
        <w:t xml:space="preserve"> ISR is not planning on having a member present. Further details about possible multi organizational statements would be sent from WHO staff with a deadline of appx May 15 for formal statements. </w:t>
      </w:r>
    </w:p>
    <w:p w14:paraId="4C888C49" w14:textId="77777777" w:rsidR="00C03994" w:rsidRDefault="00C03994" w:rsidP="00C03994">
      <w:pPr>
        <w:spacing w:before="100" w:beforeAutospacing="1" w:after="100" w:afterAutospacing="1"/>
      </w:pPr>
      <w:r>
        <w:t>As engagement between the ISR and WHO continues even beyond the WHA77, some extractions from the provisional agenda that may have relevance to the ISR include: </w:t>
      </w:r>
    </w:p>
    <w:p w14:paraId="2D7AB665" w14:textId="77777777" w:rsidR="00C03994" w:rsidRDefault="00C03994" w:rsidP="00C03994">
      <w:pPr>
        <w:spacing w:before="100" w:beforeAutospacing="1" w:after="100" w:afterAutospacing="1"/>
      </w:pPr>
      <w:r>
        <w:t>11.1 Universal health coverage in the agenda items</w:t>
      </w:r>
    </w:p>
    <w:p w14:paraId="57B40D6B" w14:textId="77777777" w:rsidR="00C03994" w:rsidRDefault="00C03994" w:rsidP="00C03994">
      <w:pPr>
        <w:spacing w:before="100" w:beforeAutospacing="1" w:after="100" w:afterAutospacing="1"/>
      </w:pPr>
      <w:r>
        <w:t xml:space="preserve">13.4 Intergovernmental Negotiating Body to draft and negotiate a WHO convention, agreement or other international instrument on pandemic prevention, preparedness and </w:t>
      </w:r>
      <w:proofErr w:type="gramStart"/>
      <w:r>
        <w:t>response</w:t>
      </w:r>
      <w:proofErr w:type="gramEnd"/>
    </w:p>
    <w:p w14:paraId="31739BB6" w14:textId="77777777" w:rsidR="00C03994" w:rsidRDefault="00C03994" w:rsidP="00C03994">
      <w:pPr>
        <w:spacing w:before="100" w:beforeAutospacing="1" w:after="100" w:afterAutospacing="1"/>
      </w:pPr>
      <w:r>
        <w:rPr>
          <w:lang w:val="en-GB"/>
        </w:rPr>
        <w:t>17. Draft fourteenth general programme of work</w:t>
      </w:r>
      <w:r>
        <w:t> </w:t>
      </w:r>
    </w:p>
    <w:p w14:paraId="3B2966CA" w14:textId="77777777" w:rsidR="00C03994" w:rsidRDefault="00C03994" w:rsidP="00C03994">
      <w:pPr>
        <w:spacing w:before="100" w:beforeAutospacing="1" w:after="100" w:afterAutospacing="1"/>
        <w:rPr>
          <w:color w:val="4EA72E"/>
        </w:rPr>
      </w:pPr>
      <w:r>
        <w:t>The ISR is a non-state actor in official relations with the WHO. The focal areas of this collaboration are reflected in a dedicated workplan.</w:t>
      </w:r>
    </w:p>
    <w:p w14:paraId="35302760" w14:textId="77777777" w:rsidR="00872C09" w:rsidRDefault="00872C09"/>
    <w:sectPr w:rsidR="00872C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5E6BBE"/>
    <w:multiLevelType w:val="multilevel"/>
    <w:tmpl w:val="40F43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9297219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994"/>
    <w:rsid w:val="00026158"/>
    <w:rsid w:val="00872C09"/>
    <w:rsid w:val="00C03994"/>
    <w:rsid w:val="00D5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19578"/>
  <w15:chartTrackingRefBased/>
  <w15:docId w15:val="{11C89E0E-A76C-42C0-8511-7E7B52E5D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994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39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3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39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39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39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39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39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39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39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39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39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39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39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39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39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39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39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39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39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3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39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39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39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39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39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39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39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39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399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C039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8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rldefense.com/v3/__https:/apps.who.int/gb/ebwha/pdf_files/WHA77/A77_1-en.pdf__;!!OToaGQ!uEDKhIP07dcWMed2RzaCnDssdFqtTpZ99xqWYI3ZAkjv_q9RiCNEuV8Wo1WzzaD5G4FxLMeGW5cVXd4t6i7h$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Samples, Meg</dc:creator>
  <cp:keywords/>
  <dc:description/>
  <cp:lastModifiedBy>Samples, Meg</cp:lastModifiedBy>
  <cp:revision>1</cp:revision>
  <dcterms:created xsi:type="dcterms:W3CDTF">2024-05-17T13:34:00Z</dcterms:created>
  <dcterms:modified xsi:type="dcterms:W3CDTF">2024-05-17T13:37:00Z</dcterms:modified>
</cp:coreProperties>
</file>