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AACDA" w14:textId="77777777" w:rsidR="009345F2" w:rsidRDefault="00D216EB">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BORDERLANDS HISTORY &amp; CULTURE ARTICLE # 1</w:t>
      </w:r>
    </w:p>
    <w:p w14:paraId="7E560F58" w14:textId="77777777" w:rsidR="009345F2" w:rsidRDefault="00D216EB">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2018 BCA NEWSLETTER</w:t>
      </w:r>
    </w:p>
    <w:p w14:paraId="46978F3D" w14:textId="77777777" w:rsidR="009345F2" w:rsidRDefault="00D216EB">
      <w:pPr>
        <w:contextualSpacing w:val="0"/>
        <w:jc w:val="center"/>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sz w:val="24"/>
          <w:szCs w:val="24"/>
        </w:rPr>
        <w:drawing>
          <wp:inline distT="114300" distB="114300" distL="114300" distR="114300" wp14:anchorId="349F1E17" wp14:editId="57523890">
            <wp:extent cx="4048125" cy="5486400"/>
            <wp:effectExtent l="38100" t="38100" r="38100" b="381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4048125" cy="5486400"/>
                    </a:xfrm>
                    <a:prstGeom prst="rect">
                      <a:avLst/>
                    </a:prstGeom>
                    <a:ln w="38100">
                      <a:solidFill>
                        <a:srgbClr val="000000"/>
                      </a:solidFill>
                      <a:prstDash val="solid"/>
                    </a:ln>
                  </pic:spPr>
                </pic:pic>
              </a:graphicData>
            </a:graphic>
          </wp:inline>
        </w:drawing>
      </w:r>
      <w:bookmarkEnd w:id="0"/>
    </w:p>
    <w:p w14:paraId="3F5F0322" w14:textId="77777777" w:rsidR="009345F2" w:rsidRDefault="009345F2">
      <w:pPr>
        <w:contextualSpacing w:val="0"/>
        <w:jc w:val="center"/>
        <w:rPr>
          <w:rFonts w:ascii="Times New Roman" w:eastAsia="Times New Roman" w:hAnsi="Times New Roman" w:cs="Times New Roman"/>
          <w:sz w:val="24"/>
          <w:szCs w:val="24"/>
        </w:rPr>
      </w:pPr>
    </w:p>
    <w:p w14:paraId="3B07FF60" w14:textId="77777777" w:rsidR="009345F2" w:rsidRDefault="00D216EB">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Borderlands stakeholders prior to Mexican Independence (1821): What were the different relationships and how were social and political hierarchies formed?</w:t>
      </w:r>
    </w:p>
    <w:p w14:paraId="3CDCDF6A" w14:textId="77777777" w:rsidR="009345F2" w:rsidRDefault="009345F2">
      <w:pPr>
        <w:contextualSpacing w:val="0"/>
        <w:rPr>
          <w:rFonts w:ascii="Times New Roman" w:eastAsia="Times New Roman" w:hAnsi="Times New Roman" w:cs="Times New Roman"/>
          <w:b/>
          <w:sz w:val="24"/>
          <w:szCs w:val="24"/>
        </w:rPr>
      </w:pPr>
    </w:p>
    <w:p w14:paraId="0073C1AC" w14:textId="77777777" w:rsidR="009345F2" w:rsidRDefault="00D216EB">
      <w:pPr>
        <w:contextualSpacing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By Alex La Pierre</w:t>
      </w:r>
    </w:p>
    <w:p w14:paraId="73D9A6FE" w14:textId="77777777" w:rsidR="009345F2" w:rsidRDefault="009345F2">
      <w:pPr>
        <w:contextualSpacing w:val="0"/>
        <w:rPr>
          <w:rFonts w:ascii="Times New Roman" w:eastAsia="Times New Roman" w:hAnsi="Times New Roman" w:cs="Times New Roman"/>
          <w:color w:val="565A5C"/>
          <w:sz w:val="24"/>
          <w:szCs w:val="24"/>
          <w:highlight w:val="white"/>
        </w:rPr>
      </w:pPr>
    </w:p>
    <w:p w14:paraId="7FE8515C" w14:textId="10EB40B3" w:rsidR="009345F2" w:rsidRDefault="00D216EB">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 to Mexican Independence and at its most basic level in the region of the </w:t>
      </w:r>
      <w:r w:rsidR="00A51F93">
        <w:rPr>
          <w:rFonts w:ascii="Times New Roman" w:eastAsia="Times New Roman" w:hAnsi="Times New Roman" w:cs="Times New Roman"/>
          <w:sz w:val="24"/>
          <w:szCs w:val="24"/>
        </w:rPr>
        <w:t>present-day</w:t>
      </w:r>
      <w:r>
        <w:rPr>
          <w:rFonts w:ascii="Times New Roman" w:eastAsia="Times New Roman" w:hAnsi="Times New Roman" w:cs="Times New Roman"/>
          <w:sz w:val="24"/>
          <w:szCs w:val="24"/>
        </w:rPr>
        <w:t xml:space="preserve"> U.S.-Mexico borderlands there existed two distinct social groups culturally: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Native Americans and the Spanish colonial immigrants. These two groups can be even f</w:t>
      </w:r>
      <w:r>
        <w:rPr>
          <w:rFonts w:ascii="Times New Roman" w:eastAsia="Times New Roman" w:hAnsi="Times New Roman" w:cs="Times New Roman"/>
          <w:sz w:val="24"/>
          <w:szCs w:val="24"/>
        </w:rPr>
        <w:t>urther categorized into their own social and political hierarchies.  The relationship between these two groups can be characterized</w:t>
      </w:r>
      <w:r>
        <w:rPr>
          <w:rFonts w:ascii="Times New Roman" w:eastAsia="Times New Roman" w:hAnsi="Times New Roman" w:cs="Times New Roman"/>
          <w:sz w:val="24"/>
          <w:szCs w:val="24"/>
        </w:rPr>
        <w:t xml:space="preserve"> by the Spanish policy considering the Native Americans as subjects </w:t>
      </w:r>
      <w:r>
        <w:rPr>
          <w:rFonts w:ascii="Times New Roman" w:eastAsia="Times New Roman" w:hAnsi="Times New Roman" w:cs="Times New Roman"/>
          <w:sz w:val="24"/>
          <w:szCs w:val="24"/>
        </w:rPr>
        <w:lastRenderedPageBreak/>
        <w:t>of the crown rather than separate partners (as seen in t</w:t>
      </w:r>
      <w:r>
        <w:rPr>
          <w:rFonts w:ascii="Times New Roman" w:eastAsia="Times New Roman" w:hAnsi="Times New Roman" w:cs="Times New Roman"/>
          <w:sz w:val="24"/>
          <w:szCs w:val="24"/>
        </w:rPr>
        <w:t>he French and English colonial empires of the time) and because of this they did not seek to ‘dispossess’ the indigenous of their land, also unique given European imperial tendencies at the time. Furthermore, within the Native American cultural segment, th</w:t>
      </w:r>
      <w:r>
        <w:rPr>
          <w:rFonts w:ascii="Times New Roman" w:eastAsia="Times New Roman" w:hAnsi="Times New Roman" w:cs="Times New Roman"/>
          <w:sz w:val="24"/>
          <w:szCs w:val="24"/>
        </w:rPr>
        <w:t>at there were two sociological spheres ordered by their lifeways: 1. semi-sedentary agricultural based tribes who had long been residents of what is now today’s southwest U.S. and northern Mexico, such as the Tohono O’odham and Puebloan peoples of New Mexi</w:t>
      </w:r>
      <w:r>
        <w:rPr>
          <w:rFonts w:ascii="Times New Roman" w:eastAsia="Times New Roman" w:hAnsi="Times New Roman" w:cs="Times New Roman"/>
          <w:sz w:val="24"/>
          <w:szCs w:val="24"/>
        </w:rPr>
        <w:t>co and 2. nomadic and recent indigenous arrivals from the north - primarily Athabaskan speakers such as the Apache and Navajo who were newly arriving in this region coming from the north around the same time the Spanish  - driven by silver mining and missi</w:t>
      </w:r>
      <w:r>
        <w:rPr>
          <w:rFonts w:ascii="Times New Roman" w:eastAsia="Times New Roman" w:hAnsi="Times New Roman" w:cs="Times New Roman"/>
          <w:sz w:val="24"/>
          <w:szCs w:val="24"/>
        </w:rPr>
        <w:t>onization - were pushing in from the south.  The semi-sedentary Native American groups frequently allied with the Spanish for protective support against the new nomadic arrivals from the north and in forming their resettlements (</w:t>
      </w:r>
      <w:proofErr w:type="spellStart"/>
      <w:r>
        <w:rPr>
          <w:rFonts w:ascii="Times New Roman" w:eastAsia="Times New Roman" w:hAnsi="Times New Roman" w:cs="Times New Roman"/>
          <w:i/>
          <w:sz w:val="24"/>
          <w:szCs w:val="24"/>
        </w:rPr>
        <w:t>reducciones</w:t>
      </w:r>
      <w:proofErr w:type="spellEnd"/>
      <w:r>
        <w:rPr>
          <w:rFonts w:ascii="Times New Roman" w:eastAsia="Times New Roman" w:hAnsi="Times New Roman" w:cs="Times New Roman"/>
          <w:sz w:val="24"/>
          <w:szCs w:val="24"/>
        </w:rPr>
        <w:t>) into missions.</w:t>
      </w:r>
    </w:p>
    <w:p w14:paraId="0E86422B" w14:textId="798D1A35" w:rsidR="009345F2" w:rsidRDefault="00D216EB">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Spanish colonial immigrant segment of this era in this region can be further partitioned to the ecclesiastical and civil society. The Jesuit and Franciscan priests frequently served as buffers between the local indigenous societies and Spanish civil </w:t>
      </w:r>
      <w:r>
        <w:rPr>
          <w:rFonts w:ascii="Times New Roman" w:eastAsia="Times New Roman" w:hAnsi="Times New Roman" w:cs="Times New Roman"/>
          <w:sz w:val="24"/>
          <w:szCs w:val="24"/>
        </w:rPr>
        <w:t>society - composed of limited numbers of ranchers and miners who typically took Native American women as wives.  The Spanish military also played an important role with the frontier partner institution of the presidio, essentially a Spanish military fort w</w:t>
      </w:r>
      <w:r>
        <w:rPr>
          <w:rFonts w:ascii="Times New Roman" w:eastAsia="Times New Roman" w:hAnsi="Times New Roman" w:cs="Times New Roman"/>
          <w:sz w:val="24"/>
          <w:szCs w:val="24"/>
        </w:rPr>
        <w:t xml:space="preserve">ith the aim of protecting the frontier mining economy from indigenous nomads (presidios were also the sites of peaceful nomadic indigenous reservations known as </w:t>
      </w:r>
      <w:proofErr w:type="spellStart"/>
      <w:r>
        <w:rPr>
          <w:rFonts w:ascii="Times New Roman" w:eastAsia="Times New Roman" w:hAnsi="Times New Roman" w:cs="Times New Roman"/>
          <w:i/>
          <w:sz w:val="24"/>
          <w:szCs w:val="24"/>
        </w:rPr>
        <w:t>establecimientos</w:t>
      </w:r>
      <w:proofErr w:type="spellEnd"/>
      <w:r>
        <w:rPr>
          <w:rFonts w:ascii="Times New Roman" w:eastAsia="Times New Roman" w:hAnsi="Times New Roman" w:cs="Times New Roman"/>
          <w:i/>
          <w:sz w:val="24"/>
          <w:szCs w:val="24"/>
        </w:rPr>
        <w:t xml:space="preserve"> de la </w:t>
      </w:r>
      <w:proofErr w:type="spellStart"/>
      <w:proofErr w:type="gramStart"/>
      <w:r>
        <w:rPr>
          <w:rFonts w:ascii="Times New Roman" w:eastAsia="Times New Roman" w:hAnsi="Times New Roman" w:cs="Times New Roman"/>
          <w:i/>
          <w:sz w:val="24"/>
          <w:szCs w:val="24"/>
        </w:rPr>
        <w:t>paz</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in</w:t>
      </w:r>
      <w:proofErr w:type="gramEnd"/>
      <w:r>
        <w:rPr>
          <w:rFonts w:ascii="Times New Roman" w:eastAsia="Times New Roman" w:hAnsi="Times New Roman" w:cs="Times New Roman"/>
          <w:sz w:val="24"/>
          <w:szCs w:val="24"/>
        </w:rPr>
        <w:t xml:space="preserve"> the late colonial era) and excursions by rival European colonial</w:t>
      </w:r>
      <w:r>
        <w:rPr>
          <w:rFonts w:ascii="Times New Roman" w:eastAsia="Times New Roman" w:hAnsi="Times New Roman" w:cs="Times New Roman"/>
          <w:sz w:val="24"/>
          <w:szCs w:val="24"/>
        </w:rPr>
        <w:t xml:space="preserve"> powers such as the French in Texas and Louisiana. The frontier interaction between </w:t>
      </w:r>
      <w:proofErr w:type="gramStart"/>
      <w:r>
        <w:rPr>
          <w:rFonts w:ascii="Times New Roman" w:eastAsia="Times New Roman" w:hAnsi="Times New Roman" w:cs="Times New Roman"/>
          <w:sz w:val="24"/>
          <w:szCs w:val="24"/>
        </w:rPr>
        <w:t>indigenous  and</w:t>
      </w:r>
      <w:proofErr w:type="gramEnd"/>
      <w:r>
        <w:rPr>
          <w:rFonts w:ascii="Times New Roman" w:eastAsia="Times New Roman" w:hAnsi="Times New Roman" w:cs="Times New Roman"/>
          <w:sz w:val="24"/>
          <w:szCs w:val="24"/>
        </w:rPr>
        <w:t xml:space="preserve"> Spanish populations resulted in the birth of a third cultural group, known as </w:t>
      </w:r>
      <w:r>
        <w:rPr>
          <w:rFonts w:ascii="Times New Roman" w:eastAsia="Times New Roman" w:hAnsi="Times New Roman" w:cs="Times New Roman"/>
          <w:i/>
          <w:sz w:val="24"/>
          <w:szCs w:val="24"/>
        </w:rPr>
        <w:t>mestizos</w:t>
      </w:r>
      <w:r>
        <w:rPr>
          <w:rFonts w:ascii="Times New Roman" w:eastAsia="Times New Roman" w:hAnsi="Times New Roman" w:cs="Times New Roman"/>
          <w:sz w:val="24"/>
          <w:szCs w:val="24"/>
        </w:rPr>
        <w:t xml:space="preserve">, of dual cultural parentage. The fusion or </w:t>
      </w:r>
      <w:r>
        <w:rPr>
          <w:rFonts w:ascii="Times New Roman" w:eastAsia="Times New Roman" w:hAnsi="Times New Roman" w:cs="Times New Roman"/>
          <w:i/>
          <w:sz w:val="24"/>
          <w:szCs w:val="24"/>
        </w:rPr>
        <w:t xml:space="preserve">mestizaje </w:t>
      </w:r>
      <w:r>
        <w:rPr>
          <w:rFonts w:ascii="Times New Roman" w:eastAsia="Times New Roman" w:hAnsi="Times New Roman" w:cs="Times New Roman"/>
          <w:sz w:val="24"/>
          <w:szCs w:val="24"/>
        </w:rPr>
        <w:t>of these two cul</w:t>
      </w:r>
      <w:r>
        <w:rPr>
          <w:rFonts w:ascii="Times New Roman" w:eastAsia="Times New Roman" w:hAnsi="Times New Roman" w:cs="Times New Roman"/>
          <w:sz w:val="24"/>
          <w:szCs w:val="24"/>
        </w:rPr>
        <w:t>tural groups, in other words, ‘hybrid residuals’ of encounter gave way to future generations whose folkways and genetics were informed by the coming together of these two disparate cultures originating in the colonialism stretching from the 16th to 19th ce</w:t>
      </w:r>
      <w:r>
        <w:rPr>
          <w:rFonts w:ascii="Times New Roman" w:eastAsia="Times New Roman" w:hAnsi="Times New Roman" w:cs="Times New Roman"/>
          <w:sz w:val="24"/>
          <w:szCs w:val="24"/>
        </w:rPr>
        <w:t>nturies.  This fusion resulted in further complex colonial hierarchical organization -</w:t>
      </w:r>
      <w:r>
        <w:rPr>
          <w:rFonts w:ascii="Times New Roman" w:eastAsia="Times New Roman" w:hAnsi="Times New Roman" w:cs="Times New Roman"/>
          <w:sz w:val="24"/>
          <w:szCs w:val="24"/>
        </w:rPr>
        <w:t xml:space="preserve"> a caste system of racially rooted in a Spanish notion of ‘</w:t>
      </w:r>
      <w:proofErr w:type="spellStart"/>
      <w:r>
        <w:rPr>
          <w:rFonts w:ascii="Times New Roman" w:eastAsia="Times New Roman" w:hAnsi="Times New Roman" w:cs="Times New Roman"/>
          <w:sz w:val="24"/>
          <w:szCs w:val="24"/>
        </w:rPr>
        <w:t>l</w:t>
      </w:r>
      <w:r>
        <w:rPr>
          <w:rFonts w:ascii="Times New Roman" w:eastAsia="Times New Roman" w:hAnsi="Times New Roman" w:cs="Times New Roman"/>
          <w:i/>
          <w:sz w:val="24"/>
          <w:szCs w:val="24"/>
        </w:rPr>
        <w:t>impieza</w:t>
      </w:r>
      <w:proofErr w:type="spellEnd"/>
      <w:r>
        <w:rPr>
          <w:rFonts w:ascii="Times New Roman" w:eastAsia="Times New Roman" w:hAnsi="Times New Roman" w:cs="Times New Roman"/>
          <w:i/>
          <w:sz w:val="24"/>
          <w:szCs w:val="24"/>
        </w:rPr>
        <w:t xml:space="preserve"> de </w:t>
      </w:r>
      <w:proofErr w:type="spellStart"/>
      <w:r>
        <w:rPr>
          <w:rFonts w:ascii="Times New Roman" w:eastAsia="Times New Roman" w:hAnsi="Times New Roman" w:cs="Times New Roman"/>
          <w:i/>
          <w:sz w:val="24"/>
          <w:szCs w:val="24"/>
        </w:rPr>
        <w:t>sangr</w:t>
      </w:r>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an artifact of the Spain’s diverse medieval history - </w:t>
      </w:r>
      <w:proofErr w:type="gramStart"/>
      <w:r>
        <w:rPr>
          <w:rFonts w:ascii="Times New Roman" w:eastAsia="Times New Roman" w:hAnsi="Times New Roman" w:cs="Times New Roman"/>
          <w:sz w:val="24"/>
          <w:szCs w:val="24"/>
        </w:rPr>
        <w:t>the  frequent</w:t>
      </w:r>
      <w:proofErr w:type="gramEnd"/>
      <w:r>
        <w:rPr>
          <w:rFonts w:ascii="Times New Roman" w:eastAsia="Times New Roman" w:hAnsi="Times New Roman" w:cs="Times New Roman"/>
          <w:sz w:val="24"/>
          <w:szCs w:val="24"/>
        </w:rPr>
        <w:t xml:space="preserve"> struggle between the M</w:t>
      </w:r>
      <w:r>
        <w:rPr>
          <w:rFonts w:ascii="Times New Roman" w:eastAsia="Times New Roman" w:hAnsi="Times New Roman" w:cs="Times New Roman"/>
          <w:sz w:val="24"/>
          <w:szCs w:val="24"/>
        </w:rPr>
        <w:t xml:space="preserve">oors, Jews, and Christians on the Iberian Peninsula. </w:t>
      </w:r>
    </w:p>
    <w:p w14:paraId="4FA515F4" w14:textId="77777777" w:rsidR="009345F2" w:rsidRDefault="009345F2">
      <w:pPr>
        <w:ind w:firstLine="720"/>
        <w:contextualSpacing w:val="0"/>
        <w:rPr>
          <w:rFonts w:ascii="Times New Roman" w:eastAsia="Times New Roman" w:hAnsi="Times New Roman" w:cs="Times New Roman"/>
          <w:sz w:val="24"/>
          <w:szCs w:val="24"/>
        </w:rPr>
      </w:pPr>
    </w:p>
    <w:p w14:paraId="0B482389" w14:textId="77777777" w:rsidR="009345F2" w:rsidRDefault="009345F2">
      <w:pPr>
        <w:ind w:firstLine="720"/>
        <w:contextualSpacing w:val="0"/>
        <w:rPr>
          <w:rFonts w:ascii="Times New Roman" w:eastAsia="Times New Roman" w:hAnsi="Times New Roman" w:cs="Times New Roman"/>
          <w:sz w:val="24"/>
          <w:szCs w:val="24"/>
        </w:rPr>
      </w:pPr>
    </w:p>
    <w:p w14:paraId="6987F5D7" w14:textId="77777777" w:rsidR="009345F2" w:rsidRDefault="009345F2">
      <w:pPr>
        <w:ind w:firstLine="720"/>
        <w:contextualSpacing w:val="0"/>
        <w:rPr>
          <w:rFonts w:ascii="Times New Roman" w:eastAsia="Times New Roman" w:hAnsi="Times New Roman" w:cs="Times New Roman"/>
          <w:sz w:val="24"/>
          <w:szCs w:val="24"/>
        </w:rPr>
      </w:pPr>
    </w:p>
    <w:p w14:paraId="1FEF265A" w14:textId="77777777" w:rsidR="009345F2" w:rsidRDefault="00D216EB">
      <w:pPr>
        <w:contextualSpacing w:val="0"/>
      </w:pPr>
      <w:r>
        <w:rPr>
          <w:noProof/>
        </w:rPr>
        <w:drawing>
          <wp:inline distT="114300" distB="114300" distL="114300" distR="114300" wp14:anchorId="0850CED9" wp14:editId="1F1C08D7">
            <wp:extent cx="5943600" cy="12192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5943600" cy="1219200"/>
                    </a:xfrm>
                    <a:prstGeom prst="rect">
                      <a:avLst/>
                    </a:prstGeom>
                    <a:ln/>
                  </pic:spPr>
                </pic:pic>
              </a:graphicData>
            </a:graphic>
          </wp:inline>
        </w:drawing>
      </w:r>
    </w:p>
    <w:sectPr w:rsidR="009345F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9345F2"/>
    <w:rsid w:val="009345F2"/>
    <w:rsid w:val="00A51F93"/>
    <w:rsid w:val="00D21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8E9E2"/>
  <w15:docId w15:val="{9FED2CE0-0942-42D3-9F9F-6115C3C4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Shauna Melvin</cp:lastModifiedBy>
  <cp:revision>2</cp:revision>
  <dcterms:created xsi:type="dcterms:W3CDTF">2018-09-29T18:17:00Z</dcterms:created>
  <dcterms:modified xsi:type="dcterms:W3CDTF">2018-09-29T18:17:00Z</dcterms:modified>
</cp:coreProperties>
</file>