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70276" w14:textId="562224ED" w:rsidR="00F4596F" w:rsidRDefault="005F3176" w:rsidP="00D903B0">
      <w:pPr>
        <w:pStyle w:val="BodyA"/>
        <w:spacing w:line="168" w:lineRule="auto"/>
        <w:rPr>
          <w:rFonts w:ascii="Trebuchet MS" w:eastAsia="Trebuchet MS" w:hAnsi="Trebuchet MS" w:cs="Trebuchet MS"/>
          <w:b/>
          <w:bCs/>
          <w:sz w:val="30"/>
          <w:szCs w:val="30"/>
        </w:rPr>
      </w:pPr>
      <w:r>
        <w:rPr>
          <w:rFonts w:ascii="Trebuchet MS" w:eastAsia="Trebuchet MS" w:hAnsi="Trebuchet MS" w:cs="Trebuchet MS"/>
          <w:b/>
          <w:bCs/>
          <w:noProof/>
          <w:sz w:val="36"/>
          <w:szCs w:val="36"/>
        </w:rPr>
        <w:drawing>
          <wp:anchor distT="152400" distB="152400" distL="152400" distR="152400" simplePos="0" relativeHeight="251659264" behindDoc="0" locked="0" layoutInCell="1" allowOverlap="1" wp14:anchorId="37FA1ACE" wp14:editId="0303C3EE">
            <wp:simplePos x="0" y="0"/>
            <wp:positionH relativeFrom="margin">
              <wp:posOffset>-609600</wp:posOffset>
            </wp:positionH>
            <wp:positionV relativeFrom="page">
              <wp:posOffset>162560</wp:posOffset>
            </wp:positionV>
            <wp:extent cx="7148195" cy="2560320"/>
            <wp:effectExtent l="0" t="0" r="1905" b="508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ner.png"/>
                    <pic:cNvPicPr/>
                  </pic:nvPicPr>
                  <pic:blipFill rotWithShape="1">
                    <a:blip r:embed="rId7"/>
                    <a:srcRect b="5017"/>
                    <a:stretch/>
                  </pic:blipFill>
                  <pic:spPr bwMode="auto">
                    <a:xfrm>
                      <a:off x="0" y="0"/>
                      <a:ext cx="7148195" cy="256032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6E5951F" w14:textId="1B8A0753" w:rsidR="00D903B0" w:rsidRPr="00BA329F" w:rsidRDefault="00D903B0" w:rsidP="00BA329F">
      <w:pPr>
        <w:pStyle w:val="NoSpacing"/>
        <w:jc w:val="center"/>
        <w:rPr>
          <w:rFonts w:asciiTheme="majorHAnsi" w:hAnsiTheme="majorHAnsi"/>
          <w:b/>
          <w:sz w:val="32"/>
          <w:szCs w:val="32"/>
        </w:rPr>
      </w:pPr>
      <w:r w:rsidRPr="00BA329F">
        <w:rPr>
          <w:rFonts w:asciiTheme="majorHAnsi" w:hAnsiTheme="majorHAnsi"/>
          <w:b/>
          <w:sz w:val="32"/>
          <w:szCs w:val="32"/>
        </w:rPr>
        <w:t xml:space="preserve">Governor Newsom’s </w:t>
      </w:r>
      <w:r w:rsidR="005F724A">
        <w:rPr>
          <w:rFonts w:asciiTheme="majorHAnsi" w:hAnsiTheme="majorHAnsi"/>
          <w:b/>
          <w:sz w:val="32"/>
          <w:szCs w:val="32"/>
        </w:rPr>
        <w:t>2021-22</w:t>
      </w:r>
      <w:r w:rsidRPr="00BA329F">
        <w:rPr>
          <w:rFonts w:asciiTheme="majorHAnsi" w:hAnsiTheme="majorHAnsi"/>
          <w:b/>
          <w:sz w:val="32"/>
          <w:szCs w:val="32"/>
        </w:rPr>
        <w:t xml:space="preserve"> January Budget Proposal</w:t>
      </w:r>
    </w:p>
    <w:p w14:paraId="5F84BCE0" w14:textId="77777777" w:rsidR="00BA329F" w:rsidRPr="00BA329F" w:rsidRDefault="00BA329F" w:rsidP="00BA329F">
      <w:pPr>
        <w:pStyle w:val="NoSpacing"/>
        <w:jc w:val="center"/>
        <w:rPr>
          <w:rFonts w:asciiTheme="majorHAnsi" w:hAnsiTheme="majorHAnsi"/>
          <w:b/>
          <w:sz w:val="32"/>
          <w:szCs w:val="32"/>
        </w:rPr>
      </w:pPr>
    </w:p>
    <w:p w14:paraId="2FE64029" w14:textId="1A923F92" w:rsidR="00F4596F" w:rsidRPr="00D903B0" w:rsidRDefault="00D903B0" w:rsidP="00D903B0">
      <w:pPr>
        <w:rPr>
          <w:rFonts w:asciiTheme="majorHAnsi" w:hAnsiTheme="majorHAnsi"/>
        </w:rPr>
      </w:pPr>
      <w:r w:rsidRPr="00D903B0">
        <w:rPr>
          <w:rFonts w:asciiTheme="majorHAnsi" w:hAnsiTheme="majorHAnsi"/>
        </w:rPr>
        <w:t xml:space="preserve">Governor Newsom </w:t>
      </w:r>
      <w:r w:rsidR="005F3176" w:rsidRPr="00D903B0">
        <w:rPr>
          <w:rFonts w:asciiTheme="majorHAnsi" w:hAnsiTheme="majorHAnsi"/>
        </w:rPr>
        <w:t>released his 20</w:t>
      </w:r>
      <w:r w:rsidR="005F724A">
        <w:rPr>
          <w:rFonts w:asciiTheme="majorHAnsi" w:hAnsiTheme="majorHAnsi"/>
        </w:rPr>
        <w:t>20-21</w:t>
      </w:r>
      <w:r w:rsidR="005F3176" w:rsidRPr="00D903B0">
        <w:rPr>
          <w:rFonts w:asciiTheme="majorHAnsi" w:hAnsiTheme="majorHAnsi"/>
        </w:rPr>
        <w:t xml:space="preserve"> budget blueprint. The budget projects </w:t>
      </w:r>
      <w:r w:rsidR="005F724A">
        <w:rPr>
          <w:rFonts w:asciiTheme="majorHAnsi" w:hAnsiTheme="majorHAnsi"/>
        </w:rPr>
        <w:t>a one-time windfall of revenue despite the challenges of the pandemic</w:t>
      </w:r>
      <w:r w:rsidRPr="00D903B0">
        <w:rPr>
          <w:rFonts w:asciiTheme="majorHAnsi" w:hAnsiTheme="majorHAnsi"/>
        </w:rPr>
        <w:t xml:space="preserve">; however, the governor’s budget hedges against a </w:t>
      </w:r>
      <w:r w:rsidR="005F724A">
        <w:rPr>
          <w:rFonts w:asciiTheme="majorHAnsi" w:hAnsiTheme="majorHAnsi"/>
        </w:rPr>
        <w:t>possible revenue shortfall in the following year/s</w:t>
      </w:r>
      <w:r w:rsidR="00480881">
        <w:rPr>
          <w:rFonts w:asciiTheme="majorHAnsi" w:hAnsiTheme="majorHAnsi"/>
        </w:rPr>
        <w:t>.</w:t>
      </w:r>
      <w:r w:rsidR="005F724A">
        <w:rPr>
          <w:rFonts w:asciiTheme="majorHAnsi" w:hAnsiTheme="majorHAnsi"/>
        </w:rPr>
        <w:t xml:space="preserve">  The proposed budget will now be debated by the legislature and a final budget will be sent to the Governor for approval in June.</w:t>
      </w:r>
      <w:r w:rsidR="00480881">
        <w:rPr>
          <w:rFonts w:asciiTheme="majorHAnsi" w:hAnsiTheme="majorHAnsi"/>
        </w:rPr>
        <w:t xml:space="preserve">  </w:t>
      </w:r>
      <w:r w:rsidRPr="00D903B0">
        <w:rPr>
          <w:rFonts w:asciiTheme="majorHAnsi" w:hAnsiTheme="majorHAnsi"/>
        </w:rPr>
        <w:t>Below is a summary of the governor’s proposed budget and its impact on Californians with intellectual and developmental disabilities and their families</w:t>
      </w:r>
      <w:r w:rsidR="00480881">
        <w:rPr>
          <w:rFonts w:asciiTheme="majorHAnsi" w:hAnsiTheme="majorHAnsi"/>
        </w:rPr>
        <w:t>:</w:t>
      </w:r>
    </w:p>
    <w:p w14:paraId="2F382FD3" w14:textId="77777777" w:rsidR="00F4596F" w:rsidRPr="00D903B0" w:rsidRDefault="00F4596F" w:rsidP="00D903B0">
      <w:pPr>
        <w:rPr>
          <w:rFonts w:asciiTheme="majorHAnsi" w:hAnsiTheme="majorHAnsi"/>
        </w:rPr>
      </w:pPr>
    </w:p>
    <w:p w14:paraId="3A3E6863" w14:textId="51115D34" w:rsidR="000B445E" w:rsidRDefault="005F3176" w:rsidP="00D903B0">
      <w:pPr>
        <w:rPr>
          <w:rFonts w:asciiTheme="minorHAnsi" w:hAnsiTheme="minorHAnsi"/>
          <w:b/>
          <w:sz w:val="32"/>
          <w:szCs w:val="32"/>
        </w:rPr>
      </w:pPr>
      <w:r w:rsidRPr="00D903B0">
        <w:rPr>
          <w:rFonts w:asciiTheme="minorHAnsi" w:hAnsiTheme="minorHAnsi"/>
          <w:b/>
          <w:sz w:val="32"/>
          <w:szCs w:val="32"/>
        </w:rPr>
        <w:t>Regional Center Services</w:t>
      </w:r>
    </w:p>
    <w:p w14:paraId="31E9CF24" w14:textId="77777777" w:rsidR="005F724A" w:rsidRDefault="000B445E" w:rsidP="00D903B0">
      <w:pPr>
        <w:rPr>
          <w:rFonts w:asciiTheme="majorHAnsi" w:hAnsiTheme="majorHAnsi"/>
        </w:rPr>
      </w:pPr>
      <w:r w:rsidRPr="00D903B0">
        <w:rPr>
          <w:rFonts w:asciiTheme="majorHAnsi" w:hAnsiTheme="majorHAnsi"/>
        </w:rPr>
        <w:t xml:space="preserve">The proposed budget estimates regional center caseload growth </w:t>
      </w:r>
      <w:r w:rsidR="005F724A">
        <w:rPr>
          <w:rFonts w:asciiTheme="majorHAnsi" w:hAnsiTheme="majorHAnsi"/>
        </w:rPr>
        <w:t>to 368,753</w:t>
      </w:r>
      <w:r w:rsidRPr="00D903B0">
        <w:rPr>
          <w:rFonts w:asciiTheme="majorHAnsi" w:hAnsiTheme="majorHAnsi"/>
        </w:rPr>
        <w:t xml:space="preserve"> clients </w:t>
      </w:r>
      <w:r w:rsidR="005F724A">
        <w:rPr>
          <w:rFonts w:asciiTheme="majorHAnsi" w:hAnsiTheme="majorHAnsi"/>
        </w:rPr>
        <w:t>and a total budget of $10.5 billion</w:t>
      </w:r>
      <w:r w:rsidRPr="00D903B0">
        <w:rPr>
          <w:rFonts w:asciiTheme="majorHAnsi" w:hAnsiTheme="majorHAnsi"/>
        </w:rPr>
        <w:t>.</w:t>
      </w:r>
      <w:r w:rsidR="00921521">
        <w:rPr>
          <w:rFonts w:asciiTheme="majorHAnsi" w:hAnsiTheme="majorHAnsi"/>
        </w:rPr>
        <w:t xml:space="preserve">  </w:t>
      </w:r>
      <w:r w:rsidR="005F724A">
        <w:rPr>
          <w:rFonts w:asciiTheme="majorHAnsi" w:hAnsiTheme="majorHAnsi"/>
        </w:rPr>
        <w:t>Budget highlights include:</w:t>
      </w:r>
    </w:p>
    <w:p w14:paraId="58B0DF8E" w14:textId="6E8143CD" w:rsidR="000E6E19" w:rsidRDefault="005F724A" w:rsidP="00FE313E">
      <w:pPr>
        <w:pStyle w:val="ListParagraph"/>
        <w:numPr>
          <w:ilvl w:val="0"/>
          <w:numId w:val="6"/>
        </w:numPr>
        <w:rPr>
          <w:rFonts w:asciiTheme="majorHAnsi" w:hAnsiTheme="majorHAnsi"/>
        </w:rPr>
      </w:pPr>
      <w:r>
        <w:rPr>
          <w:rFonts w:asciiTheme="majorHAnsi" w:hAnsiTheme="majorHAnsi"/>
        </w:rPr>
        <w:t>Extends the provider supplemental rate increases to December 31, 2022, instead of the existing elimination date of December 31, 2021.</w:t>
      </w:r>
    </w:p>
    <w:p w14:paraId="7012F898" w14:textId="7D83E559" w:rsidR="005F724A" w:rsidRDefault="005F724A" w:rsidP="00FE313E">
      <w:pPr>
        <w:pStyle w:val="ListParagraph"/>
        <w:numPr>
          <w:ilvl w:val="0"/>
          <w:numId w:val="6"/>
        </w:numPr>
        <w:rPr>
          <w:rFonts w:asciiTheme="majorHAnsi" w:hAnsiTheme="majorHAnsi"/>
        </w:rPr>
      </w:pPr>
      <w:r>
        <w:rPr>
          <w:rFonts w:asciiTheme="majorHAnsi" w:hAnsiTheme="majorHAnsi"/>
        </w:rPr>
        <w:t>Similarly, extends the suspension of the mandated 14 furlough days (aka Uniform Holiday Schedule) to December 31, 2022.</w:t>
      </w:r>
    </w:p>
    <w:p w14:paraId="2FE1CB4E" w14:textId="13E8F012" w:rsidR="005F724A" w:rsidRDefault="005F724A" w:rsidP="005F724A">
      <w:pPr>
        <w:pStyle w:val="ListParagraph"/>
        <w:numPr>
          <w:ilvl w:val="0"/>
          <w:numId w:val="6"/>
        </w:numPr>
        <w:rPr>
          <w:rFonts w:asciiTheme="majorHAnsi" w:hAnsiTheme="majorHAnsi"/>
        </w:rPr>
      </w:pPr>
      <w:r>
        <w:rPr>
          <w:rFonts w:asciiTheme="majorHAnsi" w:hAnsiTheme="majorHAnsi"/>
        </w:rPr>
        <w:t xml:space="preserve">Creates a new Community Navigator Program to partner with Family Resource Centers to increase access and outreach to underserved communities.  </w:t>
      </w:r>
    </w:p>
    <w:p w14:paraId="6A4EB149" w14:textId="50CBB84A" w:rsidR="005F724A" w:rsidRDefault="005F724A" w:rsidP="005F724A">
      <w:pPr>
        <w:pStyle w:val="ListParagraph"/>
        <w:numPr>
          <w:ilvl w:val="0"/>
          <w:numId w:val="6"/>
        </w:numPr>
        <w:rPr>
          <w:rFonts w:asciiTheme="majorHAnsi" w:hAnsiTheme="majorHAnsi"/>
        </w:rPr>
      </w:pPr>
      <w:r>
        <w:rPr>
          <w:rFonts w:asciiTheme="majorHAnsi" w:hAnsiTheme="majorHAnsi"/>
        </w:rPr>
        <w:t>Creates new Emergency Preparedness/Response Coordinators in each regional center.</w:t>
      </w:r>
    </w:p>
    <w:p w14:paraId="3269D77C" w14:textId="6390A4A9" w:rsidR="005F724A" w:rsidRDefault="005F724A" w:rsidP="005F724A">
      <w:pPr>
        <w:pStyle w:val="ListParagraph"/>
        <w:numPr>
          <w:ilvl w:val="0"/>
          <w:numId w:val="6"/>
        </w:numPr>
        <w:rPr>
          <w:rFonts w:asciiTheme="majorHAnsi" w:hAnsiTheme="majorHAnsi"/>
        </w:rPr>
      </w:pPr>
      <w:r>
        <w:rPr>
          <w:rFonts w:asciiTheme="majorHAnsi" w:hAnsiTheme="majorHAnsi"/>
        </w:rPr>
        <w:t>Expands the Systemic, Therapeutic, Assessment, Resources, and Treatment (START) Services.</w:t>
      </w:r>
    </w:p>
    <w:p w14:paraId="3F09CBA6" w14:textId="5A55615A" w:rsidR="005F724A" w:rsidRDefault="005F724A" w:rsidP="005F724A">
      <w:pPr>
        <w:pStyle w:val="ListParagraph"/>
        <w:numPr>
          <w:ilvl w:val="0"/>
          <w:numId w:val="6"/>
        </w:numPr>
        <w:rPr>
          <w:rFonts w:asciiTheme="majorHAnsi" w:hAnsiTheme="majorHAnsi"/>
        </w:rPr>
      </w:pPr>
      <w:r>
        <w:rPr>
          <w:rFonts w:asciiTheme="majorHAnsi" w:hAnsiTheme="majorHAnsi"/>
        </w:rPr>
        <w:t>Greatly expands supports and resources for individuals with IDD that are involved with the criminal justice system.</w:t>
      </w:r>
    </w:p>
    <w:p w14:paraId="1884A239" w14:textId="1A0486E3" w:rsidR="005F724A" w:rsidRPr="005F724A" w:rsidRDefault="005F724A" w:rsidP="005F724A">
      <w:pPr>
        <w:pStyle w:val="ListParagraph"/>
        <w:numPr>
          <w:ilvl w:val="0"/>
          <w:numId w:val="6"/>
        </w:numPr>
        <w:rPr>
          <w:rFonts w:asciiTheme="majorHAnsi" w:hAnsiTheme="majorHAnsi"/>
        </w:rPr>
      </w:pPr>
      <w:r>
        <w:rPr>
          <w:rFonts w:asciiTheme="majorHAnsi" w:hAnsiTheme="majorHAnsi"/>
        </w:rPr>
        <w:t>DOES NOT propose any investments to fund the $1.4 billion underfunding to regional center service as identified in the 2019 DDS Rate Study.</w:t>
      </w:r>
    </w:p>
    <w:p w14:paraId="43BD9274" w14:textId="77777777" w:rsidR="005F724A" w:rsidRDefault="005F724A" w:rsidP="005F724A">
      <w:pPr>
        <w:rPr>
          <w:rFonts w:asciiTheme="minorHAnsi" w:hAnsiTheme="minorHAnsi"/>
          <w:b/>
          <w:sz w:val="32"/>
          <w:szCs w:val="32"/>
        </w:rPr>
      </w:pPr>
      <w:r>
        <w:rPr>
          <w:rFonts w:asciiTheme="minorHAnsi" w:hAnsiTheme="minorHAnsi"/>
          <w:b/>
          <w:sz w:val="32"/>
          <w:szCs w:val="32"/>
        </w:rPr>
        <w:t>Pandemic Response</w:t>
      </w:r>
    </w:p>
    <w:p w14:paraId="314DE9E8" w14:textId="1B6318DD" w:rsidR="005F724A" w:rsidRPr="005F724A" w:rsidRDefault="005F724A" w:rsidP="005F724A">
      <w:pPr>
        <w:rPr>
          <w:rFonts w:asciiTheme="minorHAnsi" w:hAnsiTheme="minorHAnsi"/>
          <w:b/>
          <w:sz w:val="32"/>
          <w:szCs w:val="32"/>
        </w:rPr>
      </w:pPr>
      <w:r w:rsidRPr="005F724A">
        <w:rPr>
          <w:rFonts w:asciiTheme="majorHAnsi" w:hAnsiTheme="majorHAnsi"/>
        </w:rPr>
        <w:lastRenderedPageBreak/>
        <w:t xml:space="preserve">The Budget includes $211.7 million ($150.4 million General Fund) to address COVID-19 impacts on the developmental services system. Funding supports utilization increases for purchase of services above base funding levels and direct response expenditures for surge capacity at the Fairview and Porterville Developmental Centers and other operating costs in state-operated facilities. </w:t>
      </w:r>
    </w:p>
    <w:p w14:paraId="4D63712A" w14:textId="77777777" w:rsidR="005F724A" w:rsidRDefault="005F724A" w:rsidP="005F724A">
      <w:pPr>
        <w:rPr>
          <w:rFonts w:asciiTheme="minorHAnsi" w:hAnsiTheme="minorHAnsi"/>
          <w:b/>
          <w:sz w:val="32"/>
          <w:szCs w:val="32"/>
        </w:rPr>
      </w:pPr>
    </w:p>
    <w:p w14:paraId="2ABFE9DA" w14:textId="6B4B10A2" w:rsidR="005F724A" w:rsidRPr="005F724A" w:rsidRDefault="005F724A">
      <w:pPr>
        <w:pStyle w:val="Default"/>
        <w:rPr>
          <w:rFonts w:asciiTheme="minorHAnsi" w:hAnsiTheme="minorHAnsi" w:cs="Times New Roman"/>
          <w:b/>
          <w:color w:val="auto"/>
          <w:sz w:val="32"/>
          <w:szCs w:val="32"/>
        </w:rPr>
      </w:pPr>
      <w:r w:rsidRPr="005F724A">
        <w:rPr>
          <w:rFonts w:asciiTheme="minorHAnsi" w:hAnsiTheme="minorHAnsi" w:cs="Times New Roman"/>
          <w:b/>
          <w:color w:val="auto"/>
          <w:sz w:val="32"/>
          <w:szCs w:val="32"/>
        </w:rPr>
        <w:t>Family Resource Centers and Community Navigators</w:t>
      </w:r>
    </w:p>
    <w:p w14:paraId="39CA0945" w14:textId="16D2692C" w:rsidR="005F724A" w:rsidRPr="005F724A" w:rsidRDefault="005F724A">
      <w:pPr>
        <w:pStyle w:val="Default"/>
        <w:rPr>
          <w:rFonts w:asciiTheme="majorHAnsi" w:hAnsiTheme="majorHAnsi" w:cs="Times New Roman"/>
          <w:color w:val="auto"/>
          <w:sz w:val="24"/>
          <w:szCs w:val="24"/>
        </w:rPr>
      </w:pPr>
      <w:r w:rsidRPr="005F724A">
        <w:rPr>
          <w:rFonts w:asciiTheme="majorHAnsi" w:hAnsiTheme="majorHAnsi" w:cs="Times New Roman"/>
          <w:color w:val="auto"/>
          <w:sz w:val="24"/>
          <w:szCs w:val="24"/>
        </w:rPr>
        <w:t>The Budget includes $5.3 million ($3.2 million General Fund) for the Department of Developmental Services to contract with family resource centers to implement a navigator model statewide. The navigator model would utilize parents of individuals in the regional center system to provide education on resources, advocacy, and mentorship to other parents of individuals being served by the regional center system. The purpose of navigators is to increase service authorization and utilization in diverse communities, furthering health equity within the developmental services system. Funding includes resources for a one-time independent evaluation focused on improving the effectiveness of existing disparity projects.</w:t>
      </w:r>
    </w:p>
    <w:p w14:paraId="26C780A7" w14:textId="77777777" w:rsidR="00F4596F" w:rsidRPr="00D903B0" w:rsidRDefault="00F4596F" w:rsidP="00D903B0"/>
    <w:p w14:paraId="73FD88FE" w14:textId="43DA11B3" w:rsidR="00480881" w:rsidRDefault="005F3176" w:rsidP="00480881">
      <w:pPr>
        <w:rPr>
          <w:rFonts w:asciiTheme="minorHAnsi" w:hAnsiTheme="minorHAnsi"/>
          <w:b/>
          <w:sz w:val="32"/>
          <w:szCs w:val="32"/>
        </w:rPr>
      </w:pPr>
      <w:r w:rsidRPr="00D903B0">
        <w:rPr>
          <w:rFonts w:asciiTheme="minorHAnsi" w:hAnsiTheme="minorHAnsi"/>
          <w:b/>
          <w:sz w:val="32"/>
          <w:szCs w:val="32"/>
        </w:rPr>
        <w:t>SSI/SSP</w:t>
      </w:r>
    </w:p>
    <w:p w14:paraId="16B63EB0" w14:textId="3BDD62E7" w:rsidR="00F4596F" w:rsidRPr="005F724A" w:rsidRDefault="00480881" w:rsidP="005F724A">
      <w:pPr>
        <w:rPr>
          <w:rFonts w:asciiTheme="minorHAnsi" w:hAnsiTheme="minorHAnsi"/>
          <w:b/>
          <w:sz w:val="32"/>
          <w:szCs w:val="32"/>
        </w:rPr>
      </w:pPr>
      <w:r w:rsidRPr="00480881">
        <w:rPr>
          <w:rFonts w:asciiTheme="minorHAnsi" w:hAnsiTheme="minorHAnsi"/>
        </w:rPr>
        <w:t xml:space="preserve">The budget includes no increase for the State Supplemental </w:t>
      </w:r>
      <w:r w:rsidRPr="005F724A">
        <w:rPr>
          <w:rFonts w:asciiTheme="majorHAnsi" w:hAnsiTheme="majorHAnsi"/>
        </w:rPr>
        <w:t>Payment (SSP</w:t>
      </w:r>
      <w:r w:rsidR="005F724A" w:rsidRPr="005F724A">
        <w:rPr>
          <w:rFonts w:asciiTheme="majorHAnsi" w:hAnsiTheme="majorHAnsi"/>
        </w:rPr>
        <w:t xml:space="preserve">).  </w:t>
      </w:r>
      <w:r w:rsidR="005F724A" w:rsidRPr="001F0043">
        <w:rPr>
          <w:rFonts w:asciiTheme="majorHAnsi" w:hAnsiTheme="majorHAnsi"/>
        </w:rPr>
        <w:t xml:space="preserve">Effective January 2021, the maximum SSI/SSP grant levels are $955 per month for individuals and $1,598 per month for couples. The projected growth in the Consumer Price Index is 2.2 percent for 2022. As a result, the maximum SSI/SSP monthly grant levels will increase by approximately $17 and $26 for individuals and couples, respectively, effective January 2021. </w:t>
      </w:r>
    </w:p>
    <w:p w14:paraId="20A75DFD" w14:textId="77777777" w:rsidR="005F724A" w:rsidRDefault="005F724A" w:rsidP="00165EEE">
      <w:pPr>
        <w:rPr>
          <w:rFonts w:asciiTheme="minorHAnsi" w:hAnsiTheme="minorHAnsi"/>
          <w:b/>
          <w:sz w:val="32"/>
          <w:szCs w:val="32"/>
        </w:rPr>
      </w:pPr>
    </w:p>
    <w:p w14:paraId="33178937" w14:textId="50672947" w:rsidR="00165EEE" w:rsidRDefault="005F3176" w:rsidP="00165EEE">
      <w:pPr>
        <w:rPr>
          <w:rFonts w:asciiTheme="minorHAnsi" w:hAnsiTheme="minorHAnsi"/>
          <w:b/>
          <w:sz w:val="32"/>
          <w:szCs w:val="32"/>
        </w:rPr>
      </w:pPr>
      <w:r w:rsidRPr="00D903B0">
        <w:rPr>
          <w:rFonts w:asciiTheme="minorHAnsi" w:hAnsiTheme="minorHAnsi"/>
          <w:b/>
          <w:sz w:val="32"/>
          <w:szCs w:val="32"/>
        </w:rPr>
        <w:t>IHSS</w:t>
      </w:r>
    </w:p>
    <w:p w14:paraId="1E6F2CAE" w14:textId="3C19BBE0" w:rsidR="005F724A" w:rsidRPr="005F724A" w:rsidRDefault="005F724A" w:rsidP="005F724A">
      <w:pPr>
        <w:rPr>
          <w:rFonts w:asciiTheme="minorHAnsi" w:hAnsiTheme="minorHAnsi"/>
        </w:rPr>
      </w:pPr>
      <w:r w:rsidRPr="005F724A">
        <w:rPr>
          <w:rFonts w:asciiTheme="minorHAnsi" w:hAnsiTheme="minorHAnsi"/>
        </w:rPr>
        <w:t xml:space="preserve">The Budget includes $449.8 million General Fund in 2021-22 and $242.6 million General Fund in 2022-23 to reflect a delay in suspending the 7-percent across-the-board reduction to IHSS service hours. The increased funding for IHSS service hours is now proposed to be suspended on </w:t>
      </w:r>
      <w:r w:rsidRPr="001F0043">
        <w:rPr>
          <w:rFonts w:asciiTheme="minorHAnsi" w:hAnsiTheme="minorHAnsi"/>
        </w:rPr>
        <w:t xml:space="preserve">December 31, 2022. The suspension will be lifted if the Administration determines through the 2022 Budget Act process that there is sufficient General Fund revenue to support all suspended programs in the subsequent two fiscal years. </w:t>
      </w:r>
    </w:p>
    <w:p w14:paraId="6A6DEFFA" w14:textId="77777777" w:rsidR="00165EEE" w:rsidRPr="00165EEE" w:rsidRDefault="00165EEE" w:rsidP="00165EEE">
      <w:pPr>
        <w:rPr>
          <w:rFonts w:asciiTheme="minorHAnsi" w:hAnsiTheme="minorHAnsi"/>
          <w:b/>
          <w:sz w:val="32"/>
          <w:szCs w:val="32"/>
        </w:rPr>
      </w:pPr>
    </w:p>
    <w:p w14:paraId="0274152E" w14:textId="77777777" w:rsidR="005F724A" w:rsidRDefault="005F3176" w:rsidP="005F724A">
      <w:pPr>
        <w:rPr>
          <w:rFonts w:asciiTheme="minorHAnsi" w:hAnsiTheme="minorHAnsi"/>
          <w:b/>
          <w:sz w:val="32"/>
          <w:szCs w:val="32"/>
        </w:rPr>
      </w:pPr>
      <w:r w:rsidRPr="00D903B0">
        <w:rPr>
          <w:rFonts w:asciiTheme="minorHAnsi" w:hAnsiTheme="minorHAnsi"/>
          <w:b/>
          <w:sz w:val="32"/>
          <w:szCs w:val="32"/>
        </w:rPr>
        <w:t>Healthcare</w:t>
      </w:r>
    </w:p>
    <w:p w14:paraId="4A97A221" w14:textId="26F46644" w:rsidR="005F724A" w:rsidRDefault="005F724A" w:rsidP="005F724A">
      <w:pPr>
        <w:rPr>
          <w:rFonts w:asciiTheme="majorHAnsi" w:hAnsiTheme="majorHAnsi"/>
        </w:rPr>
      </w:pPr>
      <w:r w:rsidRPr="005F724A">
        <w:rPr>
          <w:rFonts w:asciiTheme="majorHAnsi" w:hAnsiTheme="majorHAnsi"/>
          <w:b/>
          <w:bCs/>
        </w:rPr>
        <w:t>Medi-Cal Adult Optional Benefits Extension</w:t>
      </w:r>
      <w:r>
        <w:rPr>
          <w:rFonts w:asciiTheme="majorHAnsi" w:hAnsiTheme="majorHAnsi"/>
        </w:rPr>
        <w:t xml:space="preserve">: </w:t>
      </w:r>
      <w:r w:rsidRPr="005F724A">
        <w:rPr>
          <w:rFonts w:asciiTheme="majorHAnsi" w:hAnsiTheme="majorHAnsi"/>
        </w:rPr>
        <w:t>The Budget includes $47 million</w:t>
      </w:r>
      <w:r w:rsidRPr="005F724A">
        <w:rPr>
          <w:rFonts w:asciiTheme="majorHAnsi" w:hAnsiTheme="majorHAnsi"/>
        </w:rPr>
        <w:br/>
        <w:t xml:space="preserve">($15.6 million General Fund) in 2021-22 to delay by 12 months the suspension of audiology and speech therapy services, incontinence creams and washes, optician and optical lab services, and podiatric services to December 31, 2022. </w:t>
      </w:r>
    </w:p>
    <w:p w14:paraId="09040F7B" w14:textId="3504250B" w:rsidR="005F724A" w:rsidRPr="005F724A" w:rsidRDefault="005F724A" w:rsidP="005F724A">
      <w:pPr>
        <w:pStyle w:val="NormalWeb"/>
        <w:rPr>
          <w:rFonts w:asciiTheme="majorHAnsi" w:eastAsia="Arial Unicode MS" w:hAnsiTheme="majorHAnsi"/>
          <w:bdr w:val="nil"/>
        </w:rPr>
      </w:pPr>
      <w:r w:rsidRPr="005F724A">
        <w:rPr>
          <w:rFonts w:asciiTheme="majorHAnsi" w:eastAsia="Arial Unicode MS" w:hAnsiTheme="majorHAnsi"/>
          <w:b/>
          <w:bCs/>
          <w:bdr w:val="nil"/>
        </w:rPr>
        <w:t>Telehealth Flexibilities in Medi-Cal</w:t>
      </w:r>
      <w:r w:rsidRPr="005F724A">
        <w:rPr>
          <w:rFonts w:asciiTheme="majorHAnsi" w:eastAsia="Arial Unicode MS" w:hAnsiTheme="majorHAnsi"/>
          <w:b/>
          <w:bCs/>
          <w:bdr w:val="nil"/>
        </w:rPr>
        <w:t>:</w:t>
      </w:r>
      <w:r w:rsidRPr="005F724A">
        <w:rPr>
          <w:rFonts w:asciiTheme="majorHAnsi" w:eastAsia="Arial Unicode MS" w:hAnsiTheme="majorHAnsi"/>
          <w:bdr w:val="nil"/>
        </w:rPr>
        <w:t xml:space="preserve"> </w:t>
      </w:r>
      <w:r w:rsidRPr="005F724A">
        <w:rPr>
          <w:rFonts w:asciiTheme="majorHAnsi" w:eastAsia="Arial Unicode MS" w:hAnsiTheme="majorHAnsi"/>
          <w:bdr w:val="nil"/>
        </w:rPr>
        <w:t xml:space="preserve">The Budget includes $94.8 million ($34 million General Fund) ongoing to expand and make permanent certain telehealth flexibilities </w:t>
      </w:r>
      <w:r w:rsidRPr="005F724A">
        <w:rPr>
          <w:rFonts w:asciiTheme="majorHAnsi" w:eastAsia="Arial Unicode MS" w:hAnsiTheme="majorHAnsi"/>
          <w:bdr w:val="nil"/>
        </w:rPr>
        <w:lastRenderedPageBreak/>
        <w:t xml:space="preserve">authorized during COVID-19 for Medi-Cal providers, and to add remote patient monitoring as a new covered benefit, effective July 1, 2021. This effort will expand access to preventative services and improve health outcomes, thereby increasing health equity. </w:t>
      </w:r>
    </w:p>
    <w:p w14:paraId="29CC9003" w14:textId="04DC3341" w:rsidR="005F724A" w:rsidRPr="005F724A" w:rsidRDefault="005F724A" w:rsidP="005F724A">
      <w:pPr>
        <w:pStyle w:val="NormalWeb"/>
        <w:rPr>
          <w:rFonts w:asciiTheme="majorHAnsi" w:eastAsia="Arial Unicode MS" w:hAnsiTheme="majorHAnsi"/>
          <w:bdr w:val="nil"/>
        </w:rPr>
      </w:pPr>
      <w:r w:rsidRPr="005F724A">
        <w:rPr>
          <w:rFonts w:asciiTheme="majorHAnsi" w:eastAsia="Arial Unicode MS" w:hAnsiTheme="majorHAnsi"/>
          <w:b/>
          <w:bCs/>
          <w:bdr w:val="nil"/>
        </w:rPr>
        <w:t>Prop 56 Programs:</w:t>
      </w:r>
      <w:r w:rsidRPr="005F724A">
        <w:rPr>
          <w:rFonts w:asciiTheme="majorHAnsi" w:eastAsia="Arial Unicode MS" w:hAnsiTheme="majorHAnsi"/>
          <w:bdr w:val="nil"/>
        </w:rPr>
        <w:t xml:space="preserve"> </w:t>
      </w:r>
      <w:r w:rsidRPr="005F724A">
        <w:rPr>
          <w:rFonts w:asciiTheme="majorHAnsi" w:eastAsia="Arial Unicode MS" w:hAnsiTheme="majorHAnsi"/>
          <w:bdr w:val="nil"/>
        </w:rPr>
        <w:t>Given an improved revenue outlook in the short term, the Budget delays the suspension of Proposition 56 programs by 12 months and includes a total of $3.2 billion</w:t>
      </w:r>
      <w:r w:rsidRPr="005F724A">
        <w:rPr>
          <w:rFonts w:asciiTheme="majorHAnsi" w:eastAsia="Arial Unicode MS" w:hAnsiTheme="majorHAnsi"/>
          <w:bdr w:val="nil"/>
        </w:rPr>
        <w:br/>
        <w:t xml:space="preserve">($275.3 million General Fund, $717.8 million Proposition 56 Fund, and $2.2 billion federal funds) for these programs in 2021-22. (The Budget would have otherwise included $759.9 million General Fund savings if the suspensions were not delayed.) The General Fund partially supports supplemental payment programs at current levels now that program costs exceed declining tobacco tax revenues, due primarily to the assumed implementation of the ban on flavored tobacco and vaping products pursuant to Chapter 34, Statutes of 2020 (SB 793). The Budget assumes Proposition 56 suspensions effective July 1, 2022, except for supplemental payments to intermediate care facilities for the developmentally disabled, freestanding pediatric subacute facilities, and Community Based Adult Services, which will be suspended December 31, 2022, due to the managed care calendar rate year. </w:t>
      </w:r>
    </w:p>
    <w:p w14:paraId="7FB7CC3F" w14:textId="77777777" w:rsidR="00F4596F" w:rsidRDefault="00F4596F">
      <w:pPr>
        <w:pStyle w:val="BodyA"/>
        <w:spacing w:line="168" w:lineRule="auto"/>
        <w:rPr>
          <w:rFonts w:ascii="Trebuchet MS" w:eastAsia="Trebuchet MS" w:hAnsi="Trebuchet MS" w:cs="Trebuchet MS"/>
          <w:b/>
          <w:bCs/>
          <w:sz w:val="30"/>
          <w:szCs w:val="30"/>
        </w:rPr>
      </w:pPr>
    </w:p>
    <w:p w14:paraId="7A063305" w14:textId="77777777" w:rsidR="005F724A" w:rsidRDefault="005F3176" w:rsidP="005F724A">
      <w:pPr>
        <w:rPr>
          <w:rFonts w:asciiTheme="minorHAnsi" w:hAnsiTheme="minorHAnsi"/>
          <w:b/>
          <w:sz w:val="32"/>
          <w:szCs w:val="32"/>
        </w:rPr>
      </w:pPr>
      <w:r w:rsidRPr="00D903B0">
        <w:rPr>
          <w:rFonts w:asciiTheme="minorHAnsi" w:hAnsiTheme="minorHAnsi"/>
          <w:b/>
          <w:sz w:val="32"/>
          <w:szCs w:val="32"/>
        </w:rPr>
        <w:t>Special Education</w:t>
      </w:r>
      <w:r w:rsidR="005F724A">
        <w:rPr>
          <w:rFonts w:asciiTheme="minorHAnsi" w:hAnsiTheme="minorHAnsi"/>
          <w:b/>
          <w:sz w:val="32"/>
          <w:szCs w:val="32"/>
        </w:rPr>
        <w:t xml:space="preserve"> &amp; Early Learning</w:t>
      </w:r>
    </w:p>
    <w:p w14:paraId="0C9BC458" w14:textId="5AE03B1B" w:rsidR="005F724A" w:rsidRPr="005F724A" w:rsidRDefault="005F724A" w:rsidP="005F724A">
      <w:pPr>
        <w:rPr>
          <w:rFonts w:asciiTheme="minorHAnsi" w:hAnsiTheme="minorHAnsi"/>
          <w:b/>
          <w:sz w:val="32"/>
          <w:szCs w:val="32"/>
        </w:rPr>
      </w:pPr>
      <w:r w:rsidRPr="005F724A">
        <w:rPr>
          <w:rFonts w:asciiTheme="majorHAnsi" w:hAnsiTheme="majorHAnsi"/>
          <w:b/>
          <w:bCs/>
        </w:rPr>
        <w:t>In-Person Instruction Grants</w:t>
      </w:r>
      <w:r w:rsidRPr="005F724A">
        <w:rPr>
          <w:rFonts w:asciiTheme="majorHAnsi" w:hAnsiTheme="majorHAnsi"/>
          <w:b/>
          <w:bCs/>
        </w:rPr>
        <w:t>:</w:t>
      </w:r>
      <w:r>
        <w:rPr>
          <w:rFonts w:asciiTheme="majorHAnsi" w:hAnsiTheme="majorHAnsi"/>
        </w:rPr>
        <w:t xml:space="preserve"> </w:t>
      </w:r>
      <w:r w:rsidRPr="005F724A">
        <w:rPr>
          <w:rFonts w:asciiTheme="majorHAnsi" w:hAnsiTheme="majorHAnsi"/>
        </w:rPr>
        <w:t>$2 billion (one-time Proposition 98 Fund) to augment resources for schools to offer in-person instruction safely. The funds aim to prioritize in-person instruction for students with barriers to distance learning, including students with disabilities, behavioral health issues, and early learners. Schools (except non-</w:t>
      </w:r>
      <w:proofErr w:type="gramStart"/>
      <w:r w:rsidRPr="005F724A">
        <w:rPr>
          <w:rFonts w:asciiTheme="majorHAnsi" w:hAnsiTheme="majorHAnsi"/>
        </w:rPr>
        <w:t>classroom based</w:t>
      </w:r>
      <w:proofErr w:type="gramEnd"/>
      <w:r w:rsidRPr="005F724A">
        <w:rPr>
          <w:rFonts w:asciiTheme="majorHAnsi" w:hAnsiTheme="majorHAnsi"/>
        </w:rPr>
        <w:t xml:space="preserve"> charter schools or independent study programs) can apply for grants on a per pupil basis.</w:t>
      </w:r>
    </w:p>
    <w:p w14:paraId="7D30494F" w14:textId="28298D01" w:rsidR="005F724A" w:rsidRPr="005F724A" w:rsidRDefault="005F724A" w:rsidP="005F724A">
      <w:pPr>
        <w:pStyle w:val="NormalWeb"/>
        <w:rPr>
          <w:rFonts w:asciiTheme="majorHAnsi" w:hAnsiTheme="majorHAnsi"/>
        </w:rPr>
      </w:pPr>
      <w:r w:rsidRPr="005F724A">
        <w:rPr>
          <w:rFonts w:asciiTheme="majorHAnsi" w:hAnsiTheme="majorHAnsi"/>
          <w:b/>
          <w:bCs/>
        </w:rPr>
        <w:t>Expanded Learning Time and Academic Interventions Grants</w:t>
      </w:r>
      <w:r w:rsidRPr="005F724A">
        <w:rPr>
          <w:rFonts w:asciiTheme="majorHAnsi" w:hAnsiTheme="majorHAnsi"/>
          <w:b/>
          <w:bCs/>
        </w:rPr>
        <w:t>:</w:t>
      </w:r>
      <w:r>
        <w:rPr>
          <w:rFonts w:asciiTheme="majorHAnsi" w:hAnsiTheme="majorHAnsi"/>
        </w:rPr>
        <w:t xml:space="preserve"> </w:t>
      </w:r>
      <w:r w:rsidRPr="005F724A">
        <w:rPr>
          <w:rFonts w:asciiTheme="majorHAnsi" w:hAnsiTheme="majorHAnsi"/>
        </w:rPr>
        <w:t xml:space="preserve">$4.6 billion (one-time funding Proposition 98 Fund) to address learning loss, to provide districts with time to design targeted interventions that focus on students from low-income families, English language learners, youth in foster care, and homeless youth, including extended school year, summer school, and learning hubs. </w:t>
      </w:r>
    </w:p>
    <w:p w14:paraId="2C13CEA6" w14:textId="0709C8AC" w:rsidR="005F724A" w:rsidRPr="005F724A" w:rsidRDefault="005F724A" w:rsidP="005F724A">
      <w:pPr>
        <w:pStyle w:val="NormalWeb"/>
        <w:rPr>
          <w:rFonts w:asciiTheme="majorHAnsi" w:hAnsiTheme="majorHAnsi"/>
        </w:rPr>
      </w:pPr>
      <w:r w:rsidRPr="005F724A">
        <w:rPr>
          <w:rFonts w:asciiTheme="majorHAnsi" w:hAnsiTheme="majorHAnsi"/>
          <w:b/>
          <w:bCs/>
        </w:rPr>
        <w:t>Equity – Investment for Educators</w:t>
      </w:r>
      <w:r w:rsidRPr="005F724A">
        <w:rPr>
          <w:rFonts w:asciiTheme="majorHAnsi" w:hAnsiTheme="majorHAnsi"/>
          <w:b/>
          <w:bCs/>
        </w:rPr>
        <w:t>:</w:t>
      </w:r>
      <w:r>
        <w:rPr>
          <w:rFonts w:asciiTheme="majorHAnsi" w:hAnsiTheme="majorHAnsi"/>
        </w:rPr>
        <w:t xml:space="preserve"> </w:t>
      </w:r>
      <w:r w:rsidRPr="005F724A">
        <w:rPr>
          <w:rFonts w:asciiTheme="majorHAnsi" w:hAnsiTheme="majorHAnsi"/>
        </w:rPr>
        <w:t xml:space="preserve">100 million one-time Proposition 98 General Fund to expand the Teacher Residency Program, which supports clinical teacher preparation programs dedicated to preparing and retaining teachers in high-need communities and subject areas, including special education, bilingual education, and STEM. </w:t>
      </w:r>
    </w:p>
    <w:p w14:paraId="75CF968C" w14:textId="1D6433F2" w:rsidR="005F724A" w:rsidRPr="005F724A" w:rsidRDefault="005F724A" w:rsidP="005F724A">
      <w:pPr>
        <w:pStyle w:val="NormalWeb"/>
        <w:rPr>
          <w:rFonts w:asciiTheme="majorHAnsi" w:hAnsiTheme="majorHAnsi"/>
        </w:rPr>
      </w:pPr>
      <w:r w:rsidRPr="005F724A">
        <w:rPr>
          <w:rFonts w:asciiTheme="majorHAnsi" w:hAnsiTheme="majorHAnsi"/>
          <w:b/>
          <w:bCs/>
        </w:rPr>
        <w:t>Special Education</w:t>
      </w:r>
      <w:r w:rsidRPr="005F724A">
        <w:rPr>
          <w:rFonts w:asciiTheme="majorHAnsi" w:hAnsiTheme="majorHAnsi"/>
          <w:b/>
          <w:bCs/>
        </w:rPr>
        <w:t>:</w:t>
      </w:r>
      <w:r>
        <w:rPr>
          <w:rFonts w:asciiTheme="majorHAnsi" w:hAnsiTheme="majorHAnsi"/>
        </w:rPr>
        <w:t xml:space="preserve"> </w:t>
      </w:r>
      <w:r w:rsidRPr="005F724A">
        <w:rPr>
          <w:rFonts w:asciiTheme="majorHAnsi" w:hAnsiTheme="majorHAnsi"/>
        </w:rPr>
        <w:t>$300 million ongoing Proposition 98 General Fund for the Special Education Early Intervention Grant to increase the availability of evidence-based services for infants, toddlers, and preschoolers.</w:t>
      </w:r>
    </w:p>
    <w:p w14:paraId="2DE8669D" w14:textId="44ECB3EB" w:rsidR="005F724A" w:rsidRPr="005F724A" w:rsidRDefault="005F724A" w:rsidP="005F724A">
      <w:pPr>
        <w:pStyle w:val="NormalWeb"/>
        <w:rPr>
          <w:rFonts w:asciiTheme="majorHAnsi" w:hAnsiTheme="majorHAnsi"/>
        </w:rPr>
      </w:pPr>
      <w:r w:rsidRPr="005F724A">
        <w:rPr>
          <w:rFonts w:asciiTheme="majorHAnsi" w:hAnsiTheme="majorHAnsi"/>
        </w:rPr>
        <w:lastRenderedPageBreak/>
        <w:t xml:space="preserve">$500,000 one-time Proposition 98 General Fund for a study to examine certification and oversight of non-public school special education placements. </w:t>
      </w:r>
    </w:p>
    <w:p w14:paraId="089E97F1" w14:textId="5D131AC8" w:rsidR="005F724A" w:rsidRPr="005F724A" w:rsidRDefault="005F724A" w:rsidP="005F724A">
      <w:pPr>
        <w:pStyle w:val="NormalWeb"/>
        <w:rPr>
          <w:rFonts w:asciiTheme="majorHAnsi" w:hAnsiTheme="majorHAnsi"/>
        </w:rPr>
      </w:pPr>
      <w:r w:rsidRPr="005F724A">
        <w:rPr>
          <w:rFonts w:asciiTheme="majorHAnsi" w:hAnsiTheme="majorHAnsi"/>
        </w:rPr>
        <w:t>Early Learning</w:t>
      </w:r>
      <w:r>
        <w:rPr>
          <w:rFonts w:asciiTheme="majorHAnsi" w:hAnsiTheme="majorHAnsi"/>
        </w:rPr>
        <w:t xml:space="preserve">: </w:t>
      </w:r>
      <w:r w:rsidRPr="005F724A">
        <w:rPr>
          <w:rFonts w:asciiTheme="majorHAnsi" w:hAnsiTheme="majorHAnsi"/>
        </w:rPr>
        <w:t xml:space="preserve">$250 million one-time Proposition 98 General Fund, available over multiple years, to provide grants to local educational agencies that offer early access to TK, to help them cover up-front costs associated with expanding their TK programs. </w:t>
      </w:r>
    </w:p>
    <w:p w14:paraId="7B3A910E" w14:textId="72CA68E9" w:rsidR="00F4596F" w:rsidRPr="005F724A" w:rsidRDefault="005F724A" w:rsidP="005F724A">
      <w:pPr>
        <w:pStyle w:val="NormalWeb"/>
        <w:rPr>
          <w:rFonts w:asciiTheme="majorHAnsi" w:hAnsiTheme="majorHAnsi"/>
        </w:rPr>
      </w:pPr>
      <w:r w:rsidRPr="005F724A">
        <w:rPr>
          <w:rFonts w:asciiTheme="majorHAnsi" w:hAnsiTheme="majorHAnsi"/>
        </w:rPr>
        <w:t xml:space="preserve">$50 million one-time Proposition 98 General Fund to support the preparation of TK teachers and provide both TK and kindergarten teachers with training in providing instruction in inclusive classrooms, support for English language learners, social-emotional learning, trauma-informed practices, restorative practices, and mitigating implicit biases. </w:t>
      </w:r>
    </w:p>
    <w:p w14:paraId="0CC3B676" w14:textId="77777777" w:rsidR="005F724A" w:rsidRDefault="005F724A" w:rsidP="005F724A">
      <w:pPr>
        <w:rPr>
          <w:rFonts w:asciiTheme="minorHAnsi" w:hAnsiTheme="minorHAnsi"/>
          <w:b/>
          <w:sz w:val="32"/>
          <w:szCs w:val="32"/>
        </w:rPr>
      </w:pPr>
      <w:r w:rsidRPr="005F724A">
        <w:rPr>
          <w:rFonts w:asciiTheme="minorHAnsi" w:hAnsiTheme="minorHAnsi"/>
          <w:b/>
          <w:sz w:val="32"/>
          <w:szCs w:val="32"/>
        </w:rPr>
        <w:t>Employment</w:t>
      </w:r>
    </w:p>
    <w:p w14:paraId="6CDBDF6C" w14:textId="5C5A3C2F" w:rsidR="005F724A" w:rsidRPr="005F724A" w:rsidRDefault="005F724A" w:rsidP="005F724A">
      <w:pPr>
        <w:rPr>
          <w:rFonts w:asciiTheme="minorHAnsi" w:hAnsiTheme="minorHAnsi"/>
          <w:b/>
          <w:sz w:val="32"/>
          <w:szCs w:val="32"/>
        </w:rPr>
      </w:pPr>
      <w:r>
        <w:rPr>
          <w:rFonts w:asciiTheme="majorHAnsi" w:hAnsiTheme="majorHAnsi"/>
        </w:rPr>
        <w:t>T</w:t>
      </w:r>
      <w:r w:rsidRPr="005F724A">
        <w:rPr>
          <w:rFonts w:asciiTheme="majorHAnsi" w:hAnsiTheme="majorHAnsi"/>
        </w:rPr>
        <w:t xml:space="preserve">he Administration is collaborating with the Department of Developmental Services and Department of Rehabilitation to begin a new State Employment Initiative to employ more persons with disabilities in the state workforce. Currently, five departments are part of the pilot program to bring both awareness of state jobs and full-time employment to the disabled community. </w:t>
      </w:r>
    </w:p>
    <w:p w14:paraId="69FD563C" w14:textId="77777777" w:rsidR="005F724A" w:rsidRPr="00480881" w:rsidRDefault="005F724A" w:rsidP="00480881">
      <w:pPr>
        <w:pStyle w:val="NormalWeb"/>
        <w:rPr>
          <w:rFonts w:asciiTheme="minorHAnsi" w:hAnsiTheme="minorHAnsi"/>
        </w:rPr>
      </w:pPr>
    </w:p>
    <w:p w14:paraId="2918A705" w14:textId="77777777" w:rsidR="00480881" w:rsidRPr="00FE313E" w:rsidRDefault="00480881">
      <w:pPr>
        <w:pStyle w:val="Default"/>
        <w:tabs>
          <w:tab w:val="left" w:pos="220"/>
          <w:tab w:val="left" w:pos="720"/>
        </w:tabs>
        <w:spacing w:after="293"/>
        <w:ind w:left="720" w:hanging="720"/>
        <w:rPr>
          <w:rFonts w:asciiTheme="minorHAnsi" w:eastAsia="Times" w:hAnsiTheme="minorHAnsi" w:cs="Times"/>
          <w:b/>
          <w:sz w:val="32"/>
          <w:szCs w:val="32"/>
        </w:rPr>
      </w:pPr>
    </w:p>
    <w:p w14:paraId="7B5B7808" w14:textId="77777777" w:rsidR="00FE313E" w:rsidRDefault="00FE313E">
      <w:pPr>
        <w:pStyle w:val="Default"/>
        <w:tabs>
          <w:tab w:val="left" w:pos="220"/>
          <w:tab w:val="left" w:pos="720"/>
        </w:tabs>
        <w:spacing w:after="293"/>
        <w:ind w:left="720" w:hanging="720"/>
        <w:rPr>
          <w:rFonts w:ascii="Times" w:eastAsia="Times" w:hAnsi="Times" w:cs="Times"/>
        </w:rPr>
      </w:pPr>
    </w:p>
    <w:p w14:paraId="5889CB1E" w14:textId="77777777" w:rsidR="00F4596F" w:rsidRDefault="00F4596F">
      <w:pPr>
        <w:pStyle w:val="BodyA"/>
      </w:pPr>
    </w:p>
    <w:p w14:paraId="39421A5C" w14:textId="77777777" w:rsidR="00F4596F" w:rsidRDefault="00F4596F">
      <w:pPr>
        <w:pStyle w:val="BodyA"/>
      </w:pPr>
    </w:p>
    <w:sectPr w:rsidR="00F4596F">
      <w:headerReference w:type="default" r:id="rId8"/>
      <w:footerReference w:type="default" r:id="rId9"/>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D8A3" w14:textId="77777777" w:rsidR="00944912" w:rsidRDefault="00944912">
      <w:r>
        <w:separator/>
      </w:r>
    </w:p>
  </w:endnote>
  <w:endnote w:type="continuationSeparator" w:id="0">
    <w:p w14:paraId="60270421" w14:textId="77777777" w:rsidR="00944912" w:rsidRDefault="0094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謐᎔"/>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BA827" w14:textId="77777777" w:rsidR="00F4596F" w:rsidRDefault="005F3176">
    <w:pPr>
      <w:pStyle w:val="BodyA"/>
      <w:spacing w:before="240" w:after="0"/>
      <w:jc w:val="center"/>
    </w:pPr>
    <w:r>
      <w:rPr>
        <w:rFonts w:ascii="Trebuchet MS"/>
      </w:rPr>
      <w:t>1225 8</w:t>
    </w:r>
    <w:r>
      <w:rPr>
        <w:rFonts w:ascii="Trebuchet MS"/>
        <w:vertAlign w:val="superscript"/>
      </w:rPr>
      <w:t>th</w:t>
    </w:r>
    <w:r>
      <w:rPr>
        <w:rFonts w:ascii="Trebuchet MS"/>
      </w:rPr>
      <w:t xml:space="preserve"> Street, Suite 350, Sacramento, California 95814 (916) 552-6619 (office), (916) 441-3494 (fax) </w:t>
    </w:r>
    <w:hyperlink r:id="rId1" w:history="1">
      <w:r>
        <w:rPr>
          <w:rStyle w:val="Hyperlink0"/>
        </w:rPr>
        <w:t>www.thearcca.org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79E7" w14:textId="77777777" w:rsidR="00944912" w:rsidRDefault="00944912">
      <w:r>
        <w:separator/>
      </w:r>
    </w:p>
  </w:footnote>
  <w:footnote w:type="continuationSeparator" w:id="0">
    <w:p w14:paraId="08F8A0DB" w14:textId="77777777" w:rsidR="00944912" w:rsidRDefault="0094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4F15B" w14:textId="77777777" w:rsidR="00F4596F" w:rsidRDefault="00F4596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673"/>
    <w:multiLevelType w:val="multilevel"/>
    <w:tmpl w:val="D2A6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70B0A"/>
    <w:multiLevelType w:val="multilevel"/>
    <w:tmpl w:val="7B4213EE"/>
    <w:lvl w:ilvl="0">
      <w:start w:val="1"/>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2" w15:restartNumberingAfterBreak="0">
    <w:nsid w:val="2FDA7E6C"/>
    <w:multiLevelType w:val="multilevel"/>
    <w:tmpl w:val="83FCD03E"/>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3" w15:restartNumberingAfterBreak="0">
    <w:nsid w:val="38E743C9"/>
    <w:multiLevelType w:val="multilevel"/>
    <w:tmpl w:val="5F303884"/>
    <w:styleLink w:val="List0"/>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80"/>
        </w:tabs>
        <w:ind w:left="720" w:hanging="360"/>
      </w:pPr>
      <w:rPr>
        <w:position w:val="0"/>
        <w:sz w:val="24"/>
        <w:szCs w:val="24"/>
        <w:rtl w:val="0"/>
      </w:rPr>
    </w:lvl>
    <w:lvl w:ilvl="2">
      <w:start w:val="1"/>
      <w:numFmt w:val="bullet"/>
      <w:lvlText w:val="•"/>
      <w:lvlJc w:val="left"/>
      <w:pPr>
        <w:tabs>
          <w:tab w:val="num" w:pos="1800"/>
        </w:tabs>
        <w:ind w:left="1080" w:hanging="360"/>
      </w:pPr>
      <w:rPr>
        <w:position w:val="0"/>
        <w:sz w:val="24"/>
        <w:szCs w:val="24"/>
        <w:rtl w:val="0"/>
      </w:rPr>
    </w:lvl>
    <w:lvl w:ilvl="3">
      <w:start w:val="1"/>
      <w:numFmt w:val="bullet"/>
      <w:lvlText w:val="•"/>
      <w:lvlJc w:val="left"/>
      <w:pPr>
        <w:tabs>
          <w:tab w:val="num" w:pos="2520"/>
        </w:tabs>
        <w:ind w:left="1440" w:hanging="360"/>
      </w:pPr>
      <w:rPr>
        <w:position w:val="0"/>
        <w:sz w:val="24"/>
        <w:szCs w:val="24"/>
        <w:rtl w:val="0"/>
      </w:rPr>
    </w:lvl>
    <w:lvl w:ilvl="4">
      <w:start w:val="1"/>
      <w:numFmt w:val="bullet"/>
      <w:lvlText w:val="•"/>
      <w:lvlJc w:val="left"/>
      <w:pPr>
        <w:tabs>
          <w:tab w:val="num" w:pos="3240"/>
        </w:tabs>
        <w:ind w:left="1800" w:hanging="360"/>
      </w:pPr>
      <w:rPr>
        <w:position w:val="0"/>
        <w:sz w:val="24"/>
        <w:szCs w:val="24"/>
        <w:rtl w:val="0"/>
      </w:rPr>
    </w:lvl>
    <w:lvl w:ilvl="5">
      <w:start w:val="1"/>
      <w:numFmt w:val="bullet"/>
      <w:lvlText w:val="•"/>
      <w:lvlJc w:val="left"/>
      <w:pPr>
        <w:tabs>
          <w:tab w:val="num" w:pos="3960"/>
        </w:tabs>
        <w:ind w:left="2160" w:hanging="360"/>
      </w:pPr>
      <w:rPr>
        <w:position w:val="0"/>
        <w:sz w:val="24"/>
        <w:szCs w:val="24"/>
        <w:rtl w:val="0"/>
      </w:rPr>
    </w:lvl>
    <w:lvl w:ilvl="6">
      <w:start w:val="1"/>
      <w:numFmt w:val="bullet"/>
      <w:lvlText w:val="•"/>
      <w:lvlJc w:val="left"/>
      <w:pPr>
        <w:tabs>
          <w:tab w:val="num" w:pos="4680"/>
        </w:tabs>
        <w:ind w:left="2520" w:hanging="360"/>
      </w:pPr>
      <w:rPr>
        <w:position w:val="0"/>
        <w:sz w:val="24"/>
        <w:szCs w:val="24"/>
        <w:rtl w:val="0"/>
      </w:rPr>
    </w:lvl>
    <w:lvl w:ilvl="7">
      <w:start w:val="1"/>
      <w:numFmt w:val="bullet"/>
      <w:lvlText w:val="•"/>
      <w:lvlJc w:val="left"/>
      <w:pPr>
        <w:tabs>
          <w:tab w:val="num" w:pos="5400"/>
        </w:tabs>
        <w:ind w:left="2880" w:hanging="360"/>
      </w:pPr>
      <w:rPr>
        <w:position w:val="0"/>
        <w:sz w:val="24"/>
        <w:szCs w:val="24"/>
        <w:rtl w:val="0"/>
      </w:rPr>
    </w:lvl>
    <w:lvl w:ilvl="8">
      <w:start w:val="1"/>
      <w:numFmt w:val="bullet"/>
      <w:lvlText w:val="•"/>
      <w:lvlJc w:val="left"/>
      <w:pPr>
        <w:tabs>
          <w:tab w:val="num" w:pos="6120"/>
        </w:tabs>
        <w:ind w:left="3240" w:hanging="360"/>
      </w:pPr>
      <w:rPr>
        <w:position w:val="0"/>
        <w:sz w:val="24"/>
        <w:szCs w:val="24"/>
        <w:rtl w:val="0"/>
      </w:rPr>
    </w:lvl>
  </w:abstractNum>
  <w:abstractNum w:abstractNumId="4" w15:restartNumberingAfterBreak="0">
    <w:nsid w:val="48AA73DB"/>
    <w:multiLevelType w:val="hybridMultilevel"/>
    <w:tmpl w:val="10A26F08"/>
    <w:lvl w:ilvl="0" w:tplc="122CA96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801C4"/>
    <w:multiLevelType w:val="hybridMultilevel"/>
    <w:tmpl w:val="7CF2E6E2"/>
    <w:lvl w:ilvl="0" w:tplc="3EEE8F9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1F81"/>
    <w:multiLevelType w:val="hybridMultilevel"/>
    <w:tmpl w:val="8A6CEB7A"/>
    <w:lvl w:ilvl="0" w:tplc="3EEE8F9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A1D67"/>
    <w:multiLevelType w:val="multilevel"/>
    <w:tmpl w:val="53F2EB1E"/>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15:restartNumberingAfterBreak="0">
    <w:nsid w:val="783A0B6C"/>
    <w:multiLevelType w:val="multilevel"/>
    <w:tmpl w:val="B81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4B62F4"/>
    <w:multiLevelType w:val="multilevel"/>
    <w:tmpl w:val="D25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3"/>
  </w:num>
  <w:num w:numId="5">
    <w:abstractNumId w:val="8"/>
  </w:num>
  <w:num w:numId="6">
    <w:abstractNumId w:val="5"/>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6F"/>
    <w:rsid w:val="000973EB"/>
    <w:rsid w:val="000B445E"/>
    <w:rsid w:val="000E6E19"/>
    <w:rsid w:val="00165EEE"/>
    <w:rsid w:val="001673C7"/>
    <w:rsid w:val="001E26ED"/>
    <w:rsid w:val="00480881"/>
    <w:rsid w:val="005F3176"/>
    <w:rsid w:val="005F724A"/>
    <w:rsid w:val="006E37C0"/>
    <w:rsid w:val="007F5A68"/>
    <w:rsid w:val="00921521"/>
    <w:rsid w:val="00944912"/>
    <w:rsid w:val="00BA329F"/>
    <w:rsid w:val="00D903B0"/>
    <w:rsid w:val="00F4596F"/>
    <w:rsid w:val="00F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4F89"/>
  <w15:docId w15:val="{854537C8-7F6D-174E-8775-B616E0A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sz w:val="22"/>
      <w:szCs w:val="22"/>
      <w:u w:val="single"/>
      <w:lang w:val="en-US"/>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None0"/>
    <w:pPr>
      <w:numPr>
        <w:numId w:val="4"/>
      </w:numPr>
    </w:pPr>
  </w:style>
  <w:style w:type="numbering" w:customStyle="1" w:styleId="None0">
    <w:name w:val="None.0"/>
  </w:style>
  <w:style w:type="paragraph" w:styleId="ListParagraph">
    <w:name w:val="List Paragraph"/>
    <w:basedOn w:val="Normal"/>
    <w:uiPriority w:val="34"/>
    <w:qFormat/>
    <w:rsid w:val="006E37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6E37C0"/>
  </w:style>
  <w:style w:type="paragraph" w:styleId="NoSpacing">
    <w:name w:val="No Spacing"/>
    <w:uiPriority w:val="1"/>
    <w:qFormat/>
    <w:rsid w:val="00BA329F"/>
    <w:rPr>
      <w:sz w:val="24"/>
      <w:szCs w:val="24"/>
    </w:rPr>
  </w:style>
  <w:style w:type="character" w:styleId="Emphasis">
    <w:name w:val="Emphasis"/>
    <w:basedOn w:val="DefaultParagraphFont"/>
    <w:uiPriority w:val="20"/>
    <w:qFormat/>
    <w:rsid w:val="00165EEE"/>
    <w:rPr>
      <w:i/>
      <w:iCs/>
    </w:rPr>
  </w:style>
  <w:style w:type="paragraph" w:styleId="NormalWeb">
    <w:name w:val="Normal (Web)"/>
    <w:basedOn w:val="Normal"/>
    <w:uiPriority w:val="99"/>
    <w:unhideWhenUsed/>
    <w:rsid w:val="00165E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1886">
      <w:bodyDiv w:val="1"/>
      <w:marLeft w:val="0"/>
      <w:marRight w:val="0"/>
      <w:marTop w:val="0"/>
      <w:marBottom w:val="0"/>
      <w:divBdr>
        <w:top w:val="none" w:sz="0" w:space="0" w:color="auto"/>
        <w:left w:val="none" w:sz="0" w:space="0" w:color="auto"/>
        <w:bottom w:val="none" w:sz="0" w:space="0" w:color="auto"/>
        <w:right w:val="none" w:sz="0" w:space="0" w:color="auto"/>
      </w:divBdr>
      <w:divsChild>
        <w:div w:id="186724505">
          <w:marLeft w:val="0"/>
          <w:marRight w:val="0"/>
          <w:marTop w:val="0"/>
          <w:marBottom w:val="0"/>
          <w:divBdr>
            <w:top w:val="none" w:sz="0" w:space="0" w:color="auto"/>
            <w:left w:val="none" w:sz="0" w:space="0" w:color="auto"/>
            <w:bottom w:val="none" w:sz="0" w:space="0" w:color="auto"/>
            <w:right w:val="none" w:sz="0" w:space="0" w:color="auto"/>
          </w:divBdr>
          <w:divsChild>
            <w:div w:id="19672317">
              <w:marLeft w:val="0"/>
              <w:marRight w:val="0"/>
              <w:marTop w:val="0"/>
              <w:marBottom w:val="0"/>
              <w:divBdr>
                <w:top w:val="none" w:sz="0" w:space="0" w:color="auto"/>
                <w:left w:val="none" w:sz="0" w:space="0" w:color="auto"/>
                <w:bottom w:val="none" w:sz="0" w:space="0" w:color="auto"/>
                <w:right w:val="none" w:sz="0" w:space="0" w:color="auto"/>
              </w:divBdr>
              <w:divsChild>
                <w:div w:id="6914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0450">
      <w:bodyDiv w:val="1"/>
      <w:marLeft w:val="0"/>
      <w:marRight w:val="0"/>
      <w:marTop w:val="0"/>
      <w:marBottom w:val="0"/>
      <w:divBdr>
        <w:top w:val="none" w:sz="0" w:space="0" w:color="auto"/>
        <w:left w:val="none" w:sz="0" w:space="0" w:color="auto"/>
        <w:bottom w:val="none" w:sz="0" w:space="0" w:color="auto"/>
        <w:right w:val="none" w:sz="0" w:space="0" w:color="auto"/>
      </w:divBdr>
      <w:divsChild>
        <w:div w:id="1147163577">
          <w:marLeft w:val="0"/>
          <w:marRight w:val="0"/>
          <w:marTop w:val="0"/>
          <w:marBottom w:val="0"/>
          <w:divBdr>
            <w:top w:val="none" w:sz="0" w:space="0" w:color="auto"/>
            <w:left w:val="none" w:sz="0" w:space="0" w:color="auto"/>
            <w:bottom w:val="none" w:sz="0" w:space="0" w:color="auto"/>
            <w:right w:val="none" w:sz="0" w:space="0" w:color="auto"/>
          </w:divBdr>
          <w:divsChild>
            <w:div w:id="1593321313">
              <w:marLeft w:val="0"/>
              <w:marRight w:val="0"/>
              <w:marTop w:val="0"/>
              <w:marBottom w:val="0"/>
              <w:divBdr>
                <w:top w:val="none" w:sz="0" w:space="0" w:color="auto"/>
                <w:left w:val="none" w:sz="0" w:space="0" w:color="auto"/>
                <w:bottom w:val="none" w:sz="0" w:space="0" w:color="auto"/>
                <w:right w:val="none" w:sz="0" w:space="0" w:color="auto"/>
              </w:divBdr>
              <w:divsChild>
                <w:div w:id="1539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5587">
      <w:bodyDiv w:val="1"/>
      <w:marLeft w:val="0"/>
      <w:marRight w:val="0"/>
      <w:marTop w:val="0"/>
      <w:marBottom w:val="0"/>
      <w:divBdr>
        <w:top w:val="none" w:sz="0" w:space="0" w:color="auto"/>
        <w:left w:val="none" w:sz="0" w:space="0" w:color="auto"/>
        <w:bottom w:val="none" w:sz="0" w:space="0" w:color="auto"/>
        <w:right w:val="none" w:sz="0" w:space="0" w:color="auto"/>
      </w:divBdr>
      <w:divsChild>
        <w:div w:id="2073429249">
          <w:marLeft w:val="0"/>
          <w:marRight w:val="0"/>
          <w:marTop w:val="0"/>
          <w:marBottom w:val="0"/>
          <w:divBdr>
            <w:top w:val="none" w:sz="0" w:space="0" w:color="auto"/>
            <w:left w:val="none" w:sz="0" w:space="0" w:color="auto"/>
            <w:bottom w:val="none" w:sz="0" w:space="0" w:color="auto"/>
            <w:right w:val="none" w:sz="0" w:space="0" w:color="auto"/>
          </w:divBdr>
          <w:divsChild>
            <w:div w:id="1508517654">
              <w:marLeft w:val="0"/>
              <w:marRight w:val="0"/>
              <w:marTop w:val="0"/>
              <w:marBottom w:val="0"/>
              <w:divBdr>
                <w:top w:val="none" w:sz="0" w:space="0" w:color="auto"/>
                <w:left w:val="none" w:sz="0" w:space="0" w:color="auto"/>
                <w:bottom w:val="none" w:sz="0" w:space="0" w:color="auto"/>
                <w:right w:val="none" w:sz="0" w:space="0" w:color="auto"/>
              </w:divBdr>
              <w:divsChild>
                <w:div w:id="1223179497">
                  <w:marLeft w:val="0"/>
                  <w:marRight w:val="0"/>
                  <w:marTop w:val="0"/>
                  <w:marBottom w:val="0"/>
                  <w:divBdr>
                    <w:top w:val="none" w:sz="0" w:space="0" w:color="auto"/>
                    <w:left w:val="none" w:sz="0" w:space="0" w:color="auto"/>
                    <w:bottom w:val="none" w:sz="0" w:space="0" w:color="auto"/>
                    <w:right w:val="none" w:sz="0" w:space="0" w:color="auto"/>
                  </w:divBdr>
                </w:div>
              </w:divsChild>
            </w:div>
            <w:div w:id="237710332">
              <w:marLeft w:val="0"/>
              <w:marRight w:val="0"/>
              <w:marTop w:val="0"/>
              <w:marBottom w:val="0"/>
              <w:divBdr>
                <w:top w:val="none" w:sz="0" w:space="0" w:color="auto"/>
                <w:left w:val="none" w:sz="0" w:space="0" w:color="auto"/>
                <w:bottom w:val="none" w:sz="0" w:space="0" w:color="auto"/>
                <w:right w:val="none" w:sz="0" w:space="0" w:color="auto"/>
              </w:divBdr>
              <w:divsChild>
                <w:div w:id="2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0749">
          <w:marLeft w:val="0"/>
          <w:marRight w:val="0"/>
          <w:marTop w:val="0"/>
          <w:marBottom w:val="0"/>
          <w:divBdr>
            <w:top w:val="none" w:sz="0" w:space="0" w:color="auto"/>
            <w:left w:val="none" w:sz="0" w:space="0" w:color="auto"/>
            <w:bottom w:val="none" w:sz="0" w:space="0" w:color="auto"/>
            <w:right w:val="none" w:sz="0" w:space="0" w:color="auto"/>
          </w:divBdr>
          <w:divsChild>
            <w:div w:id="1857578045">
              <w:marLeft w:val="0"/>
              <w:marRight w:val="0"/>
              <w:marTop w:val="0"/>
              <w:marBottom w:val="0"/>
              <w:divBdr>
                <w:top w:val="none" w:sz="0" w:space="0" w:color="auto"/>
                <w:left w:val="none" w:sz="0" w:space="0" w:color="auto"/>
                <w:bottom w:val="none" w:sz="0" w:space="0" w:color="auto"/>
                <w:right w:val="none" w:sz="0" w:space="0" w:color="auto"/>
              </w:divBdr>
              <w:divsChild>
                <w:div w:id="2930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6531">
      <w:bodyDiv w:val="1"/>
      <w:marLeft w:val="0"/>
      <w:marRight w:val="0"/>
      <w:marTop w:val="0"/>
      <w:marBottom w:val="0"/>
      <w:divBdr>
        <w:top w:val="none" w:sz="0" w:space="0" w:color="auto"/>
        <w:left w:val="none" w:sz="0" w:space="0" w:color="auto"/>
        <w:bottom w:val="none" w:sz="0" w:space="0" w:color="auto"/>
        <w:right w:val="none" w:sz="0" w:space="0" w:color="auto"/>
      </w:divBdr>
    </w:div>
    <w:div w:id="321785733">
      <w:bodyDiv w:val="1"/>
      <w:marLeft w:val="0"/>
      <w:marRight w:val="0"/>
      <w:marTop w:val="0"/>
      <w:marBottom w:val="0"/>
      <w:divBdr>
        <w:top w:val="none" w:sz="0" w:space="0" w:color="auto"/>
        <w:left w:val="none" w:sz="0" w:space="0" w:color="auto"/>
        <w:bottom w:val="none" w:sz="0" w:space="0" w:color="auto"/>
        <w:right w:val="none" w:sz="0" w:space="0" w:color="auto"/>
      </w:divBdr>
    </w:div>
    <w:div w:id="386073481">
      <w:bodyDiv w:val="1"/>
      <w:marLeft w:val="0"/>
      <w:marRight w:val="0"/>
      <w:marTop w:val="0"/>
      <w:marBottom w:val="0"/>
      <w:divBdr>
        <w:top w:val="none" w:sz="0" w:space="0" w:color="auto"/>
        <w:left w:val="none" w:sz="0" w:space="0" w:color="auto"/>
        <w:bottom w:val="none" w:sz="0" w:space="0" w:color="auto"/>
        <w:right w:val="none" w:sz="0" w:space="0" w:color="auto"/>
      </w:divBdr>
    </w:div>
    <w:div w:id="573248519">
      <w:bodyDiv w:val="1"/>
      <w:marLeft w:val="0"/>
      <w:marRight w:val="0"/>
      <w:marTop w:val="0"/>
      <w:marBottom w:val="0"/>
      <w:divBdr>
        <w:top w:val="none" w:sz="0" w:space="0" w:color="auto"/>
        <w:left w:val="none" w:sz="0" w:space="0" w:color="auto"/>
        <w:bottom w:val="none" w:sz="0" w:space="0" w:color="auto"/>
        <w:right w:val="none" w:sz="0" w:space="0" w:color="auto"/>
      </w:divBdr>
      <w:divsChild>
        <w:div w:id="2141410129">
          <w:marLeft w:val="0"/>
          <w:marRight w:val="0"/>
          <w:marTop w:val="0"/>
          <w:marBottom w:val="0"/>
          <w:divBdr>
            <w:top w:val="none" w:sz="0" w:space="0" w:color="auto"/>
            <w:left w:val="none" w:sz="0" w:space="0" w:color="auto"/>
            <w:bottom w:val="none" w:sz="0" w:space="0" w:color="auto"/>
            <w:right w:val="none" w:sz="0" w:space="0" w:color="auto"/>
          </w:divBdr>
          <w:divsChild>
            <w:div w:id="1604070935">
              <w:marLeft w:val="0"/>
              <w:marRight w:val="0"/>
              <w:marTop w:val="0"/>
              <w:marBottom w:val="0"/>
              <w:divBdr>
                <w:top w:val="none" w:sz="0" w:space="0" w:color="auto"/>
                <w:left w:val="none" w:sz="0" w:space="0" w:color="auto"/>
                <w:bottom w:val="none" w:sz="0" w:space="0" w:color="auto"/>
                <w:right w:val="none" w:sz="0" w:space="0" w:color="auto"/>
              </w:divBdr>
              <w:divsChild>
                <w:div w:id="1720739005">
                  <w:marLeft w:val="0"/>
                  <w:marRight w:val="0"/>
                  <w:marTop w:val="0"/>
                  <w:marBottom w:val="0"/>
                  <w:divBdr>
                    <w:top w:val="none" w:sz="0" w:space="0" w:color="auto"/>
                    <w:left w:val="none" w:sz="0" w:space="0" w:color="auto"/>
                    <w:bottom w:val="none" w:sz="0" w:space="0" w:color="auto"/>
                    <w:right w:val="none" w:sz="0" w:space="0" w:color="auto"/>
                  </w:divBdr>
                </w:div>
              </w:divsChild>
            </w:div>
            <w:div w:id="1331327784">
              <w:marLeft w:val="0"/>
              <w:marRight w:val="0"/>
              <w:marTop w:val="0"/>
              <w:marBottom w:val="0"/>
              <w:divBdr>
                <w:top w:val="none" w:sz="0" w:space="0" w:color="auto"/>
                <w:left w:val="none" w:sz="0" w:space="0" w:color="auto"/>
                <w:bottom w:val="none" w:sz="0" w:space="0" w:color="auto"/>
                <w:right w:val="none" w:sz="0" w:space="0" w:color="auto"/>
              </w:divBdr>
              <w:divsChild>
                <w:div w:id="13487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3767">
          <w:marLeft w:val="0"/>
          <w:marRight w:val="0"/>
          <w:marTop w:val="0"/>
          <w:marBottom w:val="0"/>
          <w:divBdr>
            <w:top w:val="none" w:sz="0" w:space="0" w:color="auto"/>
            <w:left w:val="none" w:sz="0" w:space="0" w:color="auto"/>
            <w:bottom w:val="none" w:sz="0" w:space="0" w:color="auto"/>
            <w:right w:val="none" w:sz="0" w:space="0" w:color="auto"/>
          </w:divBdr>
          <w:divsChild>
            <w:div w:id="2008941656">
              <w:marLeft w:val="0"/>
              <w:marRight w:val="0"/>
              <w:marTop w:val="0"/>
              <w:marBottom w:val="0"/>
              <w:divBdr>
                <w:top w:val="none" w:sz="0" w:space="0" w:color="auto"/>
                <w:left w:val="none" w:sz="0" w:space="0" w:color="auto"/>
                <w:bottom w:val="none" w:sz="0" w:space="0" w:color="auto"/>
                <w:right w:val="none" w:sz="0" w:space="0" w:color="auto"/>
              </w:divBdr>
              <w:divsChild>
                <w:div w:id="17173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8002">
      <w:bodyDiv w:val="1"/>
      <w:marLeft w:val="0"/>
      <w:marRight w:val="0"/>
      <w:marTop w:val="0"/>
      <w:marBottom w:val="0"/>
      <w:divBdr>
        <w:top w:val="none" w:sz="0" w:space="0" w:color="auto"/>
        <w:left w:val="none" w:sz="0" w:space="0" w:color="auto"/>
        <w:bottom w:val="none" w:sz="0" w:space="0" w:color="auto"/>
        <w:right w:val="none" w:sz="0" w:space="0" w:color="auto"/>
      </w:divBdr>
      <w:divsChild>
        <w:div w:id="1703358715">
          <w:marLeft w:val="0"/>
          <w:marRight w:val="0"/>
          <w:marTop w:val="0"/>
          <w:marBottom w:val="0"/>
          <w:divBdr>
            <w:top w:val="none" w:sz="0" w:space="0" w:color="auto"/>
            <w:left w:val="none" w:sz="0" w:space="0" w:color="auto"/>
            <w:bottom w:val="none" w:sz="0" w:space="0" w:color="auto"/>
            <w:right w:val="none" w:sz="0" w:space="0" w:color="auto"/>
          </w:divBdr>
          <w:divsChild>
            <w:div w:id="578750480">
              <w:marLeft w:val="0"/>
              <w:marRight w:val="0"/>
              <w:marTop w:val="0"/>
              <w:marBottom w:val="0"/>
              <w:divBdr>
                <w:top w:val="none" w:sz="0" w:space="0" w:color="auto"/>
                <w:left w:val="none" w:sz="0" w:space="0" w:color="auto"/>
                <w:bottom w:val="none" w:sz="0" w:space="0" w:color="auto"/>
                <w:right w:val="none" w:sz="0" w:space="0" w:color="auto"/>
              </w:divBdr>
              <w:divsChild>
                <w:div w:id="400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08336">
      <w:bodyDiv w:val="1"/>
      <w:marLeft w:val="0"/>
      <w:marRight w:val="0"/>
      <w:marTop w:val="0"/>
      <w:marBottom w:val="0"/>
      <w:divBdr>
        <w:top w:val="none" w:sz="0" w:space="0" w:color="auto"/>
        <w:left w:val="none" w:sz="0" w:space="0" w:color="auto"/>
        <w:bottom w:val="none" w:sz="0" w:space="0" w:color="auto"/>
        <w:right w:val="none" w:sz="0" w:space="0" w:color="auto"/>
      </w:divBdr>
      <w:divsChild>
        <w:div w:id="1953324493">
          <w:marLeft w:val="0"/>
          <w:marRight w:val="0"/>
          <w:marTop w:val="0"/>
          <w:marBottom w:val="0"/>
          <w:divBdr>
            <w:top w:val="none" w:sz="0" w:space="0" w:color="auto"/>
            <w:left w:val="none" w:sz="0" w:space="0" w:color="auto"/>
            <w:bottom w:val="none" w:sz="0" w:space="0" w:color="auto"/>
            <w:right w:val="none" w:sz="0" w:space="0" w:color="auto"/>
          </w:divBdr>
          <w:divsChild>
            <w:div w:id="1198855019">
              <w:marLeft w:val="0"/>
              <w:marRight w:val="0"/>
              <w:marTop w:val="0"/>
              <w:marBottom w:val="0"/>
              <w:divBdr>
                <w:top w:val="none" w:sz="0" w:space="0" w:color="auto"/>
                <w:left w:val="none" w:sz="0" w:space="0" w:color="auto"/>
                <w:bottom w:val="none" w:sz="0" w:space="0" w:color="auto"/>
                <w:right w:val="none" w:sz="0" w:space="0" w:color="auto"/>
              </w:divBdr>
              <w:divsChild>
                <w:div w:id="1190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2791">
      <w:bodyDiv w:val="1"/>
      <w:marLeft w:val="0"/>
      <w:marRight w:val="0"/>
      <w:marTop w:val="0"/>
      <w:marBottom w:val="0"/>
      <w:divBdr>
        <w:top w:val="none" w:sz="0" w:space="0" w:color="auto"/>
        <w:left w:val="none" w:sz="0" w:space="0" w:color="auto"/>
        <w:bottom w:val="none" w:sz="0" w:space="0" w:color="auto"/>
        <w:right w:val="none" w:sz="0" w:space="0" w:color="auto"/>
      </w:divBdr>
      <w:divsChild>
        <w:div w:id="1187057806">
          <w:marLeft w:val="0"/>
          <w:marRight w:val="0"/>
          <w:marTop w:val="0"/>
          <w:marBottom w:val="0"/>
          <w:divBdr>
            <w:top w:val="none" w:sz="0" w:space="0" w:color="auto"/>
            <w:left w:val="none" w:sz="0" w:space="0" w:color="auto"/>
            <w:bottom w:val="none" w:sz="0" w:space="0" w:color="auto"/>
            <w:right w:val="none" w:sz="0" w:space="0" w:color="auto"/>
          </w:divBdr>
          <w:divsChild>
            <w:div w:id="618073317">
              <w:marLeft w:val="0"/>
              <w:marRight w:val="0"/>
              <w:marTop w:val="0"/>
              <w:marBottom w:val="0"/>
              <w:divBdr>
                <w:top w:val="none" w:sz="0" w:space="0" w:color="auto"/>
                <w:left w:val="none" w:sz="0" w:space="0" w:color="auto"/>
                <w:bottom w:val="none" w:sz="0" w:space="0" w:color="auto"/>
                <w:right w:val="none" w:sz="0" w:space="0" w:color="auto"/>
              </w:divBdr>
              <w:divsChild>
                <w:div w:id="16238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8442">
      <w:bodyDiv w:val="1"/>
      <w:marLeft w:val="0"/>
      <w:marRight w:val="0"/>
      <w:marTop w:val="0"/>
      <w:marBottom w:val="0"/>
      <w:divBdr>
        <w:top w:val="none" w:sz="0" w:space="0" w:color="auto"/>
        <w:left w:val="none" w:sz="0" w:space="0" w:color="auto"/>
        <w:bottom w:val="none" w:sz="0" w:space="0" w:color="auto"/>
        <w:right w:val="none" w:sz="0" w:space="0" w:color="auto"/>
      </w:divBdr>
    </w:div>
    <w:div w:id="1003823029">
      <w:bodyDiv w:val="1"/>
      <w:marLeft w:val="0"/>
      <w:marRight w:val="0"/>
      <w:marTop w:val="0"/>
      <w:marBottom w:val="0"/>
      <w:divBdr>
        <w:top w:val="none" w:sz="0" w:space="0" w:color="auto"/>
        <w:left w:val="none" w:sz="0" w:space="0" w:color="auto"/>
        <w:bottom w:val="none" w:sz="0" w:space="0" w:color="auto"/>
        <w:right w:val="none" w:sz="0" w:space="0" w:color="auto"/>
      </w:divBdr>
    </w:div>
    <w:div w:id="1120227353">
      <w:bodyDiv w:val="1"/>
      <w:marLeft w:val="0"/>
      <w:marRight w:val="0"/>
      <w:marTop w:val="0"/>
      <w:marBottom w:val="0"/>
      <w:divBdr>
        <w:top w:val="none" w:sz="0" w:space="0" w:color="auto"/>
        <w:left w:val="none" w:sz="0" w:space="0" w:color="auto"/>
        <w:bottom w:val="none" w:sz="0" w:space="0" w:color="auto"/>
        <w:right w:val="none" w:sz="0" w:space="0" w:color="auto"/>
      </w:divBdr>
    </w:div>
    <w:div w:id="1269971587">
      <w:bodyDiv w:val="1"/>
      <w:marLeft w:val="0"/>
      <w:marRight w:val="0"/>
      <w:marTop w:val="0"/>
      <w:marBottom w:val="0"/>
      <w:divBdr>
        <w:top w:val="none" w:sz="0" w:space="0" w:color="auto"/>
        <w:left w:val="none" w:sz="0" w:space="0" w:color="auto"/>
        <w:bottom w:val="none" w:sz="0" w:space="0" w:color="auto"/>
        <w:right w:val="none" w:sz="0" w:space="0" w:color="auto"/>
      </w:divBdr>
      <w:divsChild>
        <w:div w:id="1672487296">
          <w:marLeft w:val="0"/>
          <w:marRight w:val="0"/>
          <w:marTop w:val="0"/>
          <w:marBottom w:val="0"/>
          <w:divBdr>
            <w:top w:val="none" w:sz="0" w:space="0" w:color="auto"/>
            <w:left w:val="none" w:sz="0" w:space="0" w:color="auto"/>
            <w:bottom w:val="none" w:sz="0" w:space="0" w:color="auto"/>
            <w:right w:val="none" w:sz="0" w:space="0" w:color="auto"/>
          </w:divBdr>
          <w:divsChild>
            <w:div w:id="471679043">
              <w:marLeft w:val="0"/>
              <w:marRight w:val="0"/>
              <w:marTop w:val="0"/>
              <w:marBottom w:val="0"/>
              <w:divBdr>
                <w:top w:val="none" w:sz="0" w:space="0" w:color="auto"/>
                <w:left w:val="none" w:sz="0" w:space="0" w:color="auto"/>
                <w:bottom w:val="none" w:sz="0" w:space="0" w:color="auto"/>
                <w:right w:val="none" w:sz="0" w:space="0" w:color="auto"/>
              </w:divBdr>
              <w:divsChild>
                <w:div w:id="13137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69717">
      <w:bodyDiv w:val="1"/>
      <w:marLeft w:val="0"/>
      <w:marRight w:val="0"/>
      <w:marTop w:val="0"/>
      <w:marBottom w:val="0"/>
      <w:divBdr>
        <w:top w:val="none" w:sz="0" w:space="0" w:color="auto"/>
        <w:left w:val="none" w:sz="0" w:space="0" w:color="auto"/>
        <w:bottom w:val="none" w:sz="0" w:space="0" w:color="auto"/>
        <w:right w:val="none" w:sz="0" w:space="0" w:color="auto"/>
      </w:divBdr>
    </w:div>
    <w:div w:id="1379235530">
      <w:bodyDiv w:val="1"/>
      <w:marLeft w:val="0"/>
      <w:marRight w:val="0"/>
      <w:marTop w:val="0"/>
      <w:marBottom w:val="0"/>
      <w:divBdr>
        <w:top w:val="none" w:sz="0" w:space="0" w:color="auto"/>
        <w:left w:val="none" w:sz="0" w:space="0" w:color="auto"/>
        <w:bottom w:val="none" w:sz="0" w:space="0" w:color="auto"/>
        <w:right w:val="none" w:sz="0" w:space="0" w:color="auto"/>
      </w:divBdr>
      <w:divsChild>
        <w:div w:id="1564876534">
          <w:marLeft w:val="0"/>
          <w:marRight w:val="0"/>
          <w:marTop w:val="0"/>
          <w:marBottom w:val="0"/>
          <w:divBdr>
            <w:top w:val="none" w:sz="0" w:space="0" w:color="auto"/>
            <w:left w:val="none" w:sz="0" w:space="0" w:color="auto"/>
            <w:bottom w:val="none" w:sz="0" w:space="0" w:color="auto"/>
            <w:right w:val="none" w:sz="0" w:space="0" w:color="auto"/>
          </w:divBdr>
          <w:divsChild>
            <w:div w:id="2130775157">
              <w:marLeft w:val="0"/>
              <w:marRight w:val="0"/>
              <w:marTop w:val="0"/>
              <w:marBottom w:val="0"/>
              <w:divBdr>
                <w:top w:val="none" w:sz="0" w:space="0" w:color="auto"/>
                <w:left w:val="none" w:sz="0" w:space="0" w:color="auto"/>
                <w:bottom w:val="none" w:sz="0" w:space="0" w:color="auto"/>
                <w:right w:val="none" w:sz="0" w:space="0" w:color="auto"/>
              </w:divBdr>
              <w:divsChild>
                <w:div w:id="13357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8032">
      <w:bodyDiv w:val="1"/>
      <w:marLeft w:val="0"/>
      <w:marRight w:val="0"/>
      <w:marTop w:val="0"/>
      <w:marBottom w:val="0"/>
      <w:divBdr>
        <w:top w:val="none" w:sz="0" w:space="0" w:color="auto"/>
        <w:left w:val="none" w:sz="0" w:space="0" w:color="auto"/>
        <w:bottom w:val="none" w:sz="0" w:space="0" w:color="auto"/>
        <w:right w:val="none" w:sz="0" w:space="0" w:color="auto"/>
      </w:divBdr>
      <w:divsChild>
        <w:div w:id="2126846950">
          <w:marLeft w:val="0"/>
          <w:marRight w:val="0"/>
          <w:marTop w:val="0"/>
          <w:marBottom w:val="0"/>
          <w:divBdr>
            <w:top w:val="none" w:sz="0" w:space="0" w:color="auto"/>
            <w:left w:val="none" w:sz="0" w:space="0" w:color="auto"/>
            <w:bottom w:val="none" w:sz="0" w:space="0" w:color="auto"/>
            <w:right w:val="none" w:sz="0" w:space="0" w:color="auto"/>
          </w:divBdr>
          <w:divsChild>
            <w:div w:id="423380473">
              <w:marLeft w:val="0"/>
              <w:marRight w:val="0"/>
              <w:marTop w:val="0"/>
              <w:marBottom w:val="0"/>
              <w:divBdr>
                <w:top w:val="none" w:sz="0" w:space="0" w:color="auto"/>
                <w:left w:val="none" w:sz="0" w:space="0" w:color="auto"/>
                <w:bottom w:val="none" w:sz="0" w:space="0" w:color="auto"/>
                <w:right w:val="none" w:sz="0" w:space="0" w:color="auto"/>
              </w:divBdr>
              <w:divsChild>
                <w:div w:id="1377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1324">
      <w:bodyDiv w:val="1"/>
      <w:marLeft w:val="0"/>
      <w:marRight w:val="0"/>
      <w:marTop w:val="0"/>
      <w:marBottom w:val="0"/>
      <w:divBdr>
        <w:top w:val="none" w:sz="0" w:space="0" w:color="auto"/>
        <w:left w:val="none" w:sz="0" w:space="0" w:color="auto"/>
        <w:bottom w:val="none" w:sz="0" w:space="0" w:color="auto"/>
        <w:right w:val="none" w:sz="0" w:space="0" w:color="auto"/>
      </w:divBdr>
      <w:divsChild>
        <w:div w:id="1669022063">
          <w:marLeft w:val="0"/>
          <w:marRight w:val="0"/>
          <w:marTop w:val="0"/>
          <w:marBottom w:val="0"/>
          <w:divBdr>
            <w:top w:val="none" w:sz="0" w:space="0" w:color="auto"/>
            <w:left w:val="none" w:sz="0" w:space="0" w:color="auto"/>
            <w:bottom w:val="none" w:sz="0" w:space="0" w:color="auto"/>
            <w:right w:val="none" w:sz="0" w:space="0" w:color="auto"/>
          </w:divBdr>
          <w:divsChild>
            <w:div w:id="1864979267">
              <w:marLeft w:val="0"/>
              <w:marRight w:val="0"/>
              <w:marTop w:val="0"/>
              <w:marBottom w:val="0"/>
              <w:divBdr>
                <w:top w:val="none" w:sz="0" w:space="0" w:color="auto"/>
                <w:left w:val="none" w:sz="0" w:space="0" w:color="auto"/>
                <w:bottom w:val="none" w:sz="0" w:space="0" w:color="auto"/>
                <w:right w:val="none" w:sz="0" w:space="0" w:color="auto"/>
              </w:divBdr>
              <w:divsChild>
                <w:div w:id="14042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1793">
      <w:bodyDiv w:val="1"/>
      <w:marLeft w:val="0"/>
      <w:marRight w:val="0"/>
      <w:marTop w:val="0"/>
      <w:marBottom w:val="0"/>
      <w:divBdr>
        <w:top w:val="none" w:sz="0" w:space="0" w:color="auto"/>
        <w:left w:val="none" w:sz="0" w:space="0" w:color="auto"/>
        <w:bottom w:val="none" w:sz="0" w:space="0" w:color="auto"/>
        <w:right w:val="none" w:sz="0" w:space="0" w:color="auto"/>
      </w:divBdr>
    </w:div>
    <w:div w:id="1577594778">
      <w:bodyDiv w:val="1"/>
      <w:marLeft w:val="0"/>
      <w:marRight w:val="0"/>
      <w:marTop w:val="0"/>
      <w:marBottom w:val="0"/>
      <w:divBdr>
        <w:top w:val="none" w:sz="0" w:space="0" w:color="auto"/>
        <w:left w:val="none" w:sz="0" w:space="0" w:color="auto"/>
        <w:bottom w:val="none" w:sz="0" w:space="0" w:color="auto"/>
        <w:right w:val="none" w:sz="0" w:space="0" w:color="auto"/>
      </w:divBdr>
    </w:div>
    <w:div w:id="1599681379">
      <w:bodyDiv w:val="1"/>
      <w:marLeft w:val="0"/>
      <w:marRight w:val="0"/>
      <w:marTop w:val="0"/>
      <w:marBottom w:val="0"/>
      <w:divBdr>
        <w:top w:val="none" w:sz="0" w:space="0" w:color="auto"/>
        <w:left w:val="none" w:sz="0" w:space="0" w:color="auto"/>
        <w:bottom w:val="none" w:sz="0" w:space="0" w:color="auto"/>
        <w:right w:val="none" w:sz="0" w:space="0" w:color="auto"/>
      </w:divBdr>
    </w:div>
    <w:div w:id="1629119454">
      <w:bodyDiv w:val="1"/>
      <w:marLeft w:val="0"/>
      <w:marRight w:val="0"/>
      <w:marTop w:val="0"/>
      <w:marBottom w:val="0"/>
      <w:divBdr>
        <w:top w:val="none" w:sz="0" w:space="0" w:color="auto"/>
        <w:left w:val="none" w:sz="0" w:space="0" w:color="auto"/>
        <w:bottom w:val="none" w:sz="0" w:space="0" w:color="auto"/>
        <w:right w:val="none" w:sz="0" w:space="0" w:color="auto"/>
      </w:divBdr>
    </w:div>
    <w:div w:id="1654215688">
      <w:bodyDiv w:val="1"/>
      <w:marLeft w:val="0"/>
      <w:marRight w:val="0"/>
      <w:marTop w:val="0"/>
      <w:marBottom w:val="0"/>
      <w:divBdr>
        <w:top w:val="none" w:sz="0" w:space="0" w:color="auto"/>
        <w:left w:val="none" w:sz="0" w:space="0" w:color="auto"/>
        <w:bottom w:val="none" w:sz="0" w:space="0" w:color="auto"/>
        <w:right w:val="none" w:sz="0" w:space="0" w:color="auto"/>
      </w:divBdr>
    </w:div>
    <w:div w:id="1968969758">
      <w:bodyDiv w:val="1"/>
      <w:marLeft w:val="0"/>
      <w:marRight w:val="0"/>
      <w:marTop w:val="0"/>
      <w:marBottom w:val="0"/>
      <w:divBdr>
        <w:top w:val="none" w:sz="0" w:space="0" w:color="auto"/>
        <w:left w:val="none" w:sz="0" w:space="0" w:color="auto"/>
        <w:bottom w:val="none" w:sz="0" w:space="0" w:color="auto"/>
        <w:right w:val="none" w:sz="0" w:space="0" w:color="auto"/>
      </w:divBdr>
    </w:div>
    <w:div w:id="2021544787">
      <w:bodyDiv w:val="1"/>
      <w:marLeft w:val="0"/>
      <w:marRight w:val="0"/>
      <w:marTop w:val="0"/>
      <w:marBottom w:val="0"/>
      <w:divBdr>
        <w:top w:val="none" w:sz="0" w:space="0" w:color="auto"/>
        <w:left w:val="none" w:sz="0" w:space="0" w:color="auto"/>
        <w:bottom w:val="none" w:sz="0" w:space="0" w:color="auto"/>
        <w:right w:val="none" w:sz="0" w:space="0" w:color="auto"/>
      </w:divBdr>
      <w:divsChild>
        <w:div w:id="301933323">
          <w:marLeft w:val="0"/>
          <w:marRight w:val="0"/>
          <w:marTop w:val="0"/>
          <w:marBottom w:val="0"/>
          <w:divBdr>
            <w:top w:val="none" w:sz="0" w:space="0" w:color="auto"/>
            <w:left w:val="none" w:sz="0" w:space="0" w:color="auto"/>
            <w:bottom w:val="none" w:sz="0" w:space="0" w:color="auto"/>
            <w:right w:val="none" w:sz="0" w:space="0" w:color="auto"/>
          </w:divBdr>
          <w:divsChild>
            <w:div w:id="433482189">
              <w:marLeft w:val="0"/>
              <w:marRight w:val="0"/>
              <w:marTop w:val="0"/>
              <w:marBottom w:val="0"/>
              <w:divBdr>
                <w:top w:val="none" w:sz="0" w:space="0" w:color="auto"/>
                <w:left w:val="none" w:sz="0" w:space="0" w:color="auto"/>
                <w:bottom w:val="none" w:sz="0" w:space="0" w:color="auto"/>
                <w:right w:val="none" w:sz="0" w:space="0" w:color="auto"/>
              </w:divBdr>
              <w:divsChild>
                <w:div w:id="15086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arcc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Lindsey</cp:lastModifiedBy>
  <cp:revision>2</cp:revision>
  <dcterms:created xsi:type="dcterms:W3CDTF">2021-01-16T00:43:00Z</dcterms:created>
  <dcterms:modified xsi:type="dcterms:W3CDTF">2021-01-16T00:43:00Z</dcterms:modified>
</cp:coreProperties>
</file>