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06890" w14:textId="5CB24405" w:rsidR="002117B8" w:rsidRDefault="002657CD">
      <w:pPr>
        <w:rPr>
          <w:rFonts w:ascii="Georgia" w:hAnsi="Georgia"/>
          <w:sz w:val="28"/>
          <w:szCs w:val="28"/>
        </w:rPr>
      </w:pPr>
      <w:r>
        <w:rPr>
          <w:rFonts w:ascii="Georgia" w:hAnsi="Georgia"/>
          <w:sz w:val="28"/>
          <w:szCs w:val="28"/>
        </w:rPr>
        <w:t>Rabbi Benjamin Chaidell</w:t>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t xml:space="preserve">     11-23-25</w:t>
      </w:r>
    </w:p>
    <w:p w14:paraId="154E0851" w14:textId="23310E09" w:rsidR="002657CD" w:rsidRDefault="002657CD" w:rsidP="002657CD">
      <w:pPr>
        <w:jc w:val="center"/>
        <w:rPr>
          <w:rFonts w:ascii="Georgia" w:hAnsi="Georgia"/>
          <w:sz w:val="28"/>
          <w:szCs w:val="28"/>
        </w:rPr>
      </w:pPr>
      <w:r>
        <w:rPr>
          <w:rFonts w:ascii="Georgia" w:hAnsi="Georgia"/>
          <w:sz w:val="28"/>
          <w:szCs w:val="28"/>
        </w:rPr>
        <w:t xml:space="preserve">Hot Topics: </w:t>
      </w:r>
      <w:r w:rsidR="004C792E">
        <w:rPr>
          <w:rFonts w:ascii="Georgia" w:hAnsi="Georgia"/>
          <w:sz w:val="28"/>
          <w:szCs w:val="28"/>
        </w:rPr>
        <w:t>The Bamber Family of</w:t>
      </w:r>
      <w:r>
        <w:rPr>
          <w:rFonts w:ascii="Georgia" w:hAnsi="Georgia"/>
          <w:sz w:val="28"/>
          <w:szCs w:val="28"/>
        </w:rPr>
        <w:t xml:space="preserve"> Russell St</w:t>
      </w:r>
      <w:r w:rsidR="004C792E">
        <w:rPr>
          <w:rFonts w:ascii="Georgia" w:hAnsi="Georgia"/>
          <w:sz w:val="28"/>
          <w:szCs w:val="28"/>
        </w:rPr>
        <w:t>reet</w:t>
      </w:r>
    </w:p>
    <w:p w14:paraId="5A4BCB6F" w14:textId="5F437671" w:rsidR="002657CD" w:rsidRDefault="005727BD" w:rsidP="005727BD">
      <w:pPr>
        <w:pStyle w:val="ListParagraph"/>
        <w:numPr>
          <w:ilvl w:val="0"/>
          <w:numId w:val="1"/>
        </w:numPr>
        <w:rPr>
          <w:rFonts w:ascii="Georgia" w:hAnsi="Georgia"/>
          <w:sz w:val="28"/>
          <w:szCs w:val="28"/>
        </w:rPr>
      </w:pPr>
      <w:r>
        <w:rPr>
          <w:rFonts w:ascii="Georgia" w:hAnsi="Georgia"/>
          <w:sz w:val="28"/>
          <w:szCs w:val="28"/>
        </w:rPr>
        <w:t xml:space="preserve">Asher Bamber (from Marie </w:t>
      </w:r>
      <w:r w:rsidR="005A7C3A">
        <w:rPr>
          <w:rFonts w:ascii="Georgia" w:hAnsi="Georgia"/>
          <w:sz w:val="28"/>
          <w:szCs w:val="28"/>
        </w:rPr>
        <w:t>Daly, Waltham Historical Society)</w:t>
      </w:r>
    </w:p>
    <w:tbl>
      <w:tblPr>
        <w:tblStyle w:val="TableGrid"/>
        <w:tblW w:w="0" w:type="auto"/>
        <w:tblLook w:val="04A0" w:firstRow="1" w:lastRow="0" w:firstColumn="1" w:lastColumn="0" w:noHBand="0" w:noVBand="1"/>
      </w:tblPr>
      <w:tblGrid>
        <w:gridCol w:w="9350"/>
      </w:tblGrid>
      <w:tr w:rsidR="005727BD" w14:paraId="447F7706" w14:textId="77777777" w:rsidTr="005727BD">
        <w:tc>
          <w:tcPr>
            <w:tcW w:w="9350" w:type="dxa"/>
          </w:tcPr>
          <w:p w14:paraId="7E2F6735" w14:textId="77777777" w:rsidR="005727BD" w:rsidRPr="005A7C3A" w:rsidRDefault="005727BD" w:rsidP="005727BD">
            <w:pPr>
              <w:rPr>
                <w:rFonts w:ascii="Georgia" w:hAnsi="Georgia"/>
                <w:sz w:val="28"/>
                <w:szCs w:val="28"/>
              </w:rPr>
            </w:pPr>
            <w:r w:rsidRPr="005A7C3A">
              <w:rPr>
                <w:rFonts w:ascii="Georgia" w:hAnsi="Georgia"/>
                <w:sz w:val="28"/>
                <w:szCs w:val="28"/>
              </w:rPr>
              <w:t xml:space="preserve">Asher Bamber was born in Konin, Poland on 22 March 1834, and was the son of Eleazer Bamber and Natalie (or Hannah) Steinert. He died in Brookline, Massachusetts on 20 April 1907. He was buried in Temple </w:t>
            </w:r>
            <w:proofErr w:type="spellStart"/>
            <w:r w:rsidRPr="005A7C3A">
              <w:rPr>
                <w:rFonts w:ascii="Georgia" w:hAnsi="Georgia"/>
                <w:sz w:val="28"/>
                <w:szCs w:val="28"/>
              </w:rPr>
              <w:t>Ohabei</w:t>
            </w:r>
            <w:proofErr w:type="spellEnd"/>
            <w:r w:rsidRPr="005A7C3A">
              <w:rPr>
                <w:rFonts w:ascii="Georgia" w:hAnsi="Georgia"/>
                <w:sz w:val="28"/>
                <w:szCs w:val="28"/>
              </w:rPr>
              <w:t xml:space="preserve"> Shalom Cemetery in East Boston. He arrived in New York City on 20 September 1850. He had a brother, Isaac Bamber, who died in 1904 in the West End, Boston. Asher married Rosetta Stein, probably in Boston ca 1860. She was born on 4 June 1841 in Germany, and she died in Brookline on 10 June 1924. </w:t>
            </w:r>
          </w:p>
          <w:p w14:paraId="08B8A989" w14:textId="77777777" w:rsidR="005A7C3A" w:rsidRPr="005A7C3A" w:rsidRDefault="005A7C3A" w:rsidP="005A7C3A">
            <w:pPr>
              <w:rPr>
                <w:rFonts w:ascii="Georgia" w:hAnsi="Georgia"/>
                <w:sz w:val="28"/>
                <w:szCs w:val="28"/>
              </w:rPr>
            </w:pPr>
          </w:p>
          <w:p w14:paraId="78F683EB" w14:textId="2D4FB9B3" w:rsidR="005727BD" w:rsidRDefault="005727BD" w:rsidP="005A7C3A">
            <w:pPr>
              <w:rPr>
                <w:rFonts w:ascii="Georgia" w:hAnsi="Georgia"/>
                <w:sz w:val="28"/>
                <w:szCs w:val="28"/>
              </w:rPr>
            </w:pPr>
            <w:r w:rsidRPr="005A7C3A">
              <w:rPr>
                <w:rFonts w:ascii="Georgia" w:hAnsi="Georgia"/>
                <w:sz w:val="28"/>
                <w:szCs w:val="28"/>
              </w:rPr>
              <w:t xml:space="preserve">Golde Bamber was the oldest child of Asher Bamber and </w:t>
            </w:r>
            <w:proofErr w:type="gramStart"/>
            <w:r w:rsidRPr="005A7C3A">
              <w:rPr>
                <w:rFonts w:ascii="Georgia" w:hAnsi="Georgia"/>
                <w:sz w:val="28"/>
                <w:szCs w:val="28"/>
              </w:rPr>
              <w:t>Rosetta Stein, and</w:t>
            </w:r>
            <w:proofErr w:type="gramEnd"/>
            <w:r w:rsidRPr="005A7C3A">
              <w:rPr>
                <w:rFonts w:ascii="Georgia" w:hAnsi="Georgia"/>
                <w:sz w:val="28"/>
                <w:szCs w:val="28"/>
              </w:rPr>
              <w:t xml:space="preserve"> was likely born in Boston on 5 January 1862. The next child, Celia Bamber, was born on 23 June 1863 in Boston. A son, Moses Bamber, was born in Waltham on 29 December 1866. By 1865, the Bamber family was living in Waltham, and by 1871, the family lived on Water Street, near Charles Street, with Asher’s brother, Isaac, and Edward Bamber. By 1875, Asher Bamber was living on Russell Street, at what is now the parking lot of Hannaford’s Market. By 1884, the Bamber family moved to Boston. </w:t>
            </w:r>
          </w:p>
          <w:p w14:paraId="5238B43A" w14:textId="77777777" w:rsidR="001B1652" w:rsidRDefault="001B1652" w:rsidP="005A7C3A">
            <w:pPr>
              <w:rPr>
                <w:rFonts w:ascii="Georgia" w:hAnsi="Georgia"/>
                <w:sz w:val="28"/>
                <w:szCs w:val="28"/>
              </w:rPr>
            </w:pPr>
          </w:p>
          <w:p w14:paraId="5A69E384" w14:textId="49F2D3B4" w:rsidR="001B1652" w:rsidRDefault="001B1652" w:rsidP="005A7C3A">
            <w:pPr>
              <w:rPr>
                <w:rFonts w:ascii="Georgia" w:hAnsi="Georgia"/>
                <w:i/>
                <w:iCs/>
                <w:sz w:val="28"/>
                <w:szCs w:val="28"/>
              </w:rPr>
            </w:pPr>
            <w:r w:rsidRPr="00E67A09">
              <w:rPr>
                <w:rFonts w:ascii="Georgia" w:hAnsi="Georgia"/>
                <w:i/>
                <w:iCs/>
                <w:sz w:val="28"/>
                <w:szCs w:val="28"/>
              </w:rPr>
              <w:t xml:space="preserve">What motivated young Jews like Asher </w:t>
            </w:r>
            <w:r w:rsidR="00E67A09" w:rsidRPr="00E67A09">
              <w:rPr>
                <w:rFonts w:ascii="Georgia" w:hAnsi="Georgia"/>
                <w:i/>
                <w:iCs/>
                <w:sz w:val="28"/>
                <w:szCs w:val="28"/>
              </w:rPr>
              <w:t>Bamber and Rosetta Stein</w:t>
            </w:r>
            <w:r w:rsidRPr="00E67A09">
              <w:rPr>
                <w:rFonts w:ascii="Georgia" w:hAnsi="Georgia"/>
                <w:i/>
                <w:iCs/>
                <w:sz w:val="28"/>
                <w:szCs w:val="28"/>
              </w:rPr>
              <w:t xml:space="preserve"> to move to Boston?</w:t>
            </w:r>
          </w:p>
          <w:p w14:paraId="2D79D7AA" w14:textId="77777777" w:rsidR="005607AA" w:rsidRPr="00E67A09" w:rsidRDefault="005607AA" w:rsidP="005A7C3A">
            <w:pPr>
              <w:rPr>
                <w:rFonts w:ascii="Georgia" w:hAnsi="Georgia"/>
                <w:i/>
                <w:iCs/>
                <w:sz w:val="28"/>
                <w:szCs w:val="28"/>
              </w:rPr>
            </w:pPr>
          </w:p>
          <w:p w14:paraId="7025A25E" w14:textId="1C450193" w:rsidR="007A2771" w:rsidRDefault="00E67A09" w:rsidP="005A7C3A">
            <w:pPr>
              <w:rPr>
                <w:rFonts w:ascii="Georgia" w:hAnsi="Georgia"/>
                <w:sz w:val="28"/>
                <w:szCs w:val="28"/>
              </w:rPr>
            </w:pPr>
            <w:r w:rsidRPr="00E67A09">
              <w:rPr>
                <w:rFonts w:ascii="Georgia" w:hAnsi="Georgia"/>
                <w:i/>
                <w:iCs/>
                <w:sz w:val="28"/>
                <w:szCs w:val="28"/>
              </w:rPr>
              <w:t>What do you think brought the Bambers to Waltham?</w:t>
            </w:r>
          </w:p>
          <w:p w14:paraId="242FD7B7" w14:textId="30F6D1D7" w:rsidR="005727BD" w:rsidRPr="005A7C3A" w:rsidRDefault="00B426D9" w:rsidP="009E37D5">
            <w:pPr>
              <w:rPr>
                <w:b/>
                <w:bCs/>
                <w:sz w:val="28"/>
                <w:szCs w:val="28"/>
              </w:rPr>
            </w:pPr>
            <w:r>
              <w:rPr>
                <w:rFonts w:ascii="Georgia" w:hAnsi="Georgia"/>
                <w:i/>
                <w:iCs/>
                <w:sz w:val="28"/>
                <w:szCs w:val="28"/>
              </w:rPr>
              <w:lastRenderedPageBreak/>
              <w:t xml:space="preserve">     </w:t>
            </w:r>
            <w:r w:rsidR="005727BD">
              <w:rPr>
                <w:noProof/>
              </w:rPr>
              <mc:AlternateContent>
                <mc:Choice Requires="wps">
                  <w:drawing>
                    <wp:anchor distT="0" distB="0" distL="114300" distR="114300" simplePos="0" relativeHeight="251659264" behindDoc="0" locked="0" layoutInCell="1" allowOverlap="1" wp14:anchorId="563B138C" wp14:editId="1D5464C5">
                      <wp:simplePos x="0" y="0"/>
                      <wp:positionH relativeFrom="column">
                        <wp:posOffset>2961005</wp:posOffset>
                      </wp:positionH>
                      <wp:positionV relativeFrom="paragraph">
                        <wp:posOffset>304800</wp:posOffset>
                      </wp:positionV>
                      <wp:extent cx="2992755" cy="1324610"/>
                      <wp:effectExtent l="38100" t="19050" r="17145" b="46990"/>
                      <wp:wrapNone/>
                      <wp:docPr id="474854133" name="Straight Arrow Connector 4"/>
                      <wp:cNvGraphicFramePr/>
                      <a:graphic xmlns:a="http://schemas.openxmlformats.org/drawingml/2006/main">
                        <a:graphicData uri="http://schemas.microsoft.com/office/word/2010/wordprocessingShape">
                          <wps:wsp>
                            <wps:cNvCnPr/>
                            <wps:spPr>
                              <a:xfrm flipH="1">
                                <a:off x="0" y="0"/>
                                <a:ext cx="2992120" cy="1323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A7AAC02" id="_x0000_t32" coordsize="21600,21600" o:spt="32" o:oned="t" path="m,l21600,21600e" filled="f">
                      <v:path arrowok="t" fillok="f" o:connecttype="none"/>
                      <o:lock v:ext="edit" shapetype="t"/>
                    </v:shapetype>
                    <v:shape id="Straight Arrow Connector 4" o:spid="_x0000_s1026" type="#_x0000_t32" style="position:absolute;margin-left:233.15pt;margin-top:24pt;width:235.65pt;height:104.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" strokecolor="red" strokeweight="2.25pt">
                      <v:stroke endarrow="block" joinstyle="miter"/>
                    </v:shape>
                  </w:pict>
                </mc:Fallback>
              </mc:AlternateContent>
            </w:r>
            <w:r w:rsidR="005727BD">
              <w:rPr>
                <w:noProof/>
              </w:rPr>
              <w:drawing>
                <wp:inline distT="0" distB="0" distL="0" distR="0" wp14:anchorId="3369D57A" wp14:editId="380ED8D4">
                  <wp:extent cx="5593080" cy="4404360"/>
                  <wp:effectExtent l="0" t="0" r="7620" b="0"/>
                  <wp:docPr id="1825053927" name="Picture 3"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map&#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3080" cy="4404360"/>
                          </a:xfrm>
                          <a:prstGeom prst="rect">
                            <a:avLst/>
                          </a:prstGeom>
                          <a:noFill/>
                          <a:ln>
                            <a:noFill/>
                          </a:ln>
                        </pic:spPr>
                      </pic:pic>
                    </a:graphicData>
                  </a:graphic>
                </wp:inline>
              </w:drawing>
            </w:r>
          </w:p>
          <w:p w14:paraId="5A735F5F" w14:textId="77777777" w:rsidR="005727BD" w:rsidRPr="005A7C3A" w:rsidRDefault="005727BD" w:rsidP="005A7C3A">
            <w:pPr>
              <w:pStyle w:val="ListParagraph"/>
              <w:rPr>
                <w:sz w:val="28"/>
                <w:szCs w:val="28"/>
              </w:rPr>
            </w:pPr>
            <w:r w:rsidRPr="005A7C3A">
              <w:rPr>
                <w:sz w:val="32"/>
                <w:szCs w:val="32"/>
              </w:rPr>
              <w:t>1875 map, showing Russell Street, house of Asher Bamber. Future location of Temple Beth Israel across Russell Street on A. P. Penniman estate</w:t>
            </w:r>
          </w:p>
          <w:p w14:paraId="171E9BD4" w14:textId="77777777" w:rsidR="005727BD" w:rsidRPr="005727BD" w:rsidRDefault="005727BD" w:rsidP="005A7C3A">
            <w:pPr>
              <w:pStyle w:val="ListParagraph"/>
              <w:rPr>
                <w:b/>
                <w:bCs/>
                <w:sz w:val="28"/>
                <w:szCs w:val="28"/>
              </w:rPr>
            </w:pPr>
          </w:p>
          <w:p w14:paraId="0C4CBF1A" w14:textId="77777777" w:rsidR="005727BD" w:rsidRPr="005727BD" w:rsidRDefault="005727BD" w:rsidP="005A7C3A">
            <w:pPr>
              <w:pStyle w:val="ListParagraph"/>
              <w:rPr>
                <w:b/>
                <w:bCs/>
                <w:sz w:val="28"/>
                <w:szCs w:val="28"/>
              </w:rPr>
            </w:pPr>
          </w:p>
          <w:p w14:paraId="774C0CED" w14:textId="77777777" w:rsidR="005727BD" w:rsidRPr="005727BD" w:rsidRDefault="005727BD" w:rsidP="005A7C3A">
            <w:pPr>
              <w:pStyle w:val="ListParagraph"/>
              <w:rPr>
                <w:b/>
                <w:bCs/>
                <w:sz w:val="28"/>
                <w:szCs w:val="28"/>
              </w:rPr>
            </w:pPr>
          </w:p>
          <w:p w14:paraId="3B98E10D" w14:textId="77777777" w:rsidR="005727BD" w:rsidRDefault="005727BD" w:rsidP="005A7C3A">
            <w:pPr>
              <w:ind w:left="360"/>
              <w:rPr>
                <w:b/>
                <w:bCs/>
                <w:sz w:val="28"/>
                <w:szCs w:val="28"/>
              </w:rPr>
            </w:pPr>
          </w:p>
          <w:p w14:paraId="7DDE36A8" w14:textId="77777777" w:rsidR="005A7C3A" w:rsidRDefault="005A7C3A" w:rsidP="005A7C3A">
            <w:pPr>
              <w:ind w:left="360"/>
              <w:rPr>
                <w:b/>
                <w:bCs/>
                <w:sz w:val="28"/>
                <w:szCs w:val="28"/>
              </w:rPr>
            </w:pPr>
          </w:p>
          <w:p w14:paraId="4ED024EB" w14:textId="77777777" w:rsidR="005A7C3A" w:rsidRDefault="005A7C3A" w:rsidP="005A7C3A">
            <w:pPr>
              <w:ind w:left="360"/>
              <w:rPr>
                <w:b/>
                <w:bCs/>
                <w:sz w:val="28"/>
                <w:szCs w:val="28"/>
              </w:rPr>
            </w:pPr>
          </w:p>
          <w:p w14:paraId="07C366C4" w14:textId="77777777" w:rsidR="005A7C3A" w:rsidRDefault="005A7C3A" w:rsidP="005A7C3A">
            <w:pPr>
              <w:ind w:left="360"/>
              <w:rPr>
                <w:b/>
                <w:bCs/>
                <w:sz w:val="28"/>
                <w:szCs w:val="28"/>
              </w:rPr>
            </w:pPr>
          </w:p>
          <w:p w14:paraId="2B7E7446" w14:textId="77777777" w:rsidR="005A7C3A" w:rsidRDefault="005A7C3A" w:rsidP="005A7C3A">
            <w:pPr>
              <w:ind w:left="360"/>
              <w:rPr>
                <w:b/>
                <w:bCs/>
                <w:sz w:val="28"/>
                <w:szCs w:val="28"/>
              </w:rPr>
            </w:pPr>
          </w:p>
          <w:p w14:paraId="761B66BD" w14:textId="77777777" w:rsidR="005A7C3A" w:rsidRDefault="005A7C3A" w:rsidP="005A7C3A">
            <w:pPr>
              <w:ind w:left="360"/>
              <w:rPr>
                <w:b/>
                <w:bCs/>
                <w:sz w:val="28"/>
                <w:szCs w:val="28"/>
              </w:rPr>
            </w:pPr>
          </w:p>
          <w:p w14:paraId="28033481" w14:textId="77777777" w:rsidR="005A7C3A" w:rsidRDefault="005A7C3A" w:rsidP="005A7C3A">
            <w:pPr>
              <w:ind w:left="360"/>
              <w:rPr>
                <w:b/>
                <w:bCs/>
                <w:sz w:val="28"/>
                <w:szCs w:val="28"/>
              </w:rPr>
            </w:pPr>
          </w:p>
          <w:p w14:paraId="4D7DD8A0" w14:textId="77777777" w:rsidR="005A7C3A" w:rsidRDefault="005A7C3A" w:rsidP="005A7C3A">
            <w:pPr>
              <w:ind w:left="360"/>
              <w:rPr>
                <w:b/>
                <w:bCs/>
                <w:sz w:val="28"/>
                <w:szCs w:val="28"/>
              </w:rPr>
            </w:pPr>
          </w:p>
          <w:p w14:paraId="5A36115B" w14:textId="77777777" w:rsidR="005A7C3A" w:rsidRDefault="005A7C3A" w:rsidP="005A7C3A">
            <w:pPr>
              <w:ind w:left="360"/>
              <w:rPr>
                <w:b/>
                <w:bCs/>
                <w:sz w:val="28"/>
                <w:szCs w:val="28"/>
              </w:rPr>
            </w:pPr>
          </w:p>
          <w:p w14:paraId="4F84763E" w14:textId="77777777" w:rsidR="005A7C3A" w:rsidRPr="005A7C3A" w:rsidRDefault="005A7C3A" w:rsidP="005A7C3A">
            <w:pPr>
              <w:ind w:left="360"/>
              <w:rPr>
                <w:b/>
                <w:bCs/>
                <w:sz w:val="28"/>
                <w:szCs w:val="28"/>
              </w:rPr>
            </w:pPr>
          </w:p>
          <w:p w14:paraId="72FE7A6C" w14:textId="77777777" w:rsidR="005727BD" w:rsidRPr="005727BD" w:rsidRDefault="005727BD" w:rsidP="005A7C3A">
            <w:pPr>
              <w:pStyle w:val="ListParagraph"/>
              <w:rPr>
                <w:b/>
                <w:bCs/>
                <w:sz w:val="28"/>
                <w:szCs w:val="28"/>
              </w:rPr>
            </w:pPr>
          </w:p>
          <w:p w14:paraId="27AB851C" w14:textId="77777777" w:rsidR="005727BD" w:rsidRPr="005727BD" w:rsidRDefault="005727BD" w:rsidP="005A7C3A">
            <w:pPr>
              <w:pStyle w:val="ListParagraph"/>
              <w:rPr>
                <w:b/>
                <w:bCs/>
                <w:sz w:val="28"/>
                <w:szCs w:val="28"/>
                <w:lang w:val="fr-CA"/>
              </w:rPr>
            </w:pPr>
            <w:r w:rsidRPr="005727BD">
              <w:rPr>
                <w:b/>
                <w:bCs/>
                <w:sz w:val="28"/>
                <w:szCs w:val="28"/>
                <w:lang w:val="fr-CA"/>
              </w:rPr>
              <w:t xml:space="preserve">Asher </w:t>
            </w:r>
            <w:proofErr w:type="spellStart"/>
            <w:r w:rsidRPr="005727BD">
              <w:rPr>
                <w:b/>
                <w:bCs/>
                <w:sz w:val="28"/>
                <w:szCs w:val="28"/>
                <w:lang w:val="fr-CA"/>
              </w:rPr>
              <w:t>Bamber</w:t>
            </w:r>
            <w:proofErr w:type="spellEnd"/>
            <w:r w:rsidRPr="005727BD">
              <w:rPr>
                <w:b/>
                <w:bCs/>
                <w:sz w:val="28"/>
                <w:szCs w:val="28"/>
                <w:lang w:val="fr-CA"/>
              </w:rPr>
              <w:t xml:space="preserve"> </w:t>
            </w:r>
            <w:proofErr w:type="spellStart"/>
            <w:r w:rsidRPr="005727BD">
              <w:rPr>
                <w:b/>
                <w:bCs/>
                <w:sz w:val="28"/>
                <w:szCs w:val="28"/>
                <w:lang w:val="fr-CA"/>
              </w:rPr>
              <w:t>Passport</w:t>
            </w:r>
            <w:proofErr w:type="spellEnd"/>
            <w:r w:rsidRPr="005727BD">
              <w:rPr>
                <w:b/>
                <w:bCs/>
                <w:sz w:val="28"/>
                <w:szCs w:val="28"/>
                <w:lang w:val="fr-CA"/>
              </w:rPr>
              <w:t xml:space="preserve"> Application</w:t>
            </w:r>
          </w:p>
          <w:p w14:paraId="7A1E5105" w14:textId="77777777" w:rsidR="005727BD" w:rsidRPr="005727BD" w:rsidRDefault="005727BD" w:rsidP="005A7C3A">
            <w:pPr>
              <w:pStyle w:val="ListParagraph"/>
              <w:rPr>
                <w:b/>
                <w:bCs/>
                <w:sz w:val="28"/>
                <w:szCs w:val="28"/>
                <w:lang w:val="fr-CA"/>
              </w:rPr>
            </w:pPr>
          </w:p>
          <w:p w14:paraId="3EF7D3A7" w14:textId="47333902" w:rsidR="005727BD" w:rsidRPr="005727BD" w:rsidRDefault="003202A7" w:rsidP="005A7C3A">
            <w:pPr>
              <w:pStyle w:val="ListParagraph"/>
              <w:rPr>
                <w:rFonts w:ascii="Georgia" w:hAnsi="Georgia"/>
                <w:sz w:val="28"/>
                <w:szCs w:val="28"/>
              </w:rPr>
            </w:pPr>
            <w:r>
              <w:rPr>
                <w:noProof/>
              </w:rPr>
              <w:drawing>
                <wp:inline distT="0" distB="0" distL="0" distR="0" wp14:anchorId="131ED93F" wp14:editId="3FAAF546">
                  <wp:extent cx="3983990" cy="6710045"/>
                  <wp:effectExtent l="0" t="0" r="0" b="0"/>
                  <wp:docPr id="197062190" name="Picture 1" descr="A document with signature and a s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2190" name="Picture 1" descr="A document with signature and a seal&#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3990" cy="6710045"/>
                          </a:xfrm>
                          <a:prstGeom prst="rect">
                            <a:avLst/>
                          </a:prstGeom>
                        </pic:spPr>
                      </pic:pic>
                    </a:graphicData>
                  </a:graphic>
                </wp:inline>
              </w:drawing>
            </w:r>
          </w:p>
        </w:tc>
      </w:tr>
    </w:tbl>
    <w:p w14:paraId="518C0A23" w14:textId="77777777" w:rsidR="005727BD" w:rsidRPr="005727BD" w:rsidRDefault="005727BD" w:rsidP="005727BD">
      <w:pPr>
        <w:rPr>
          <w:rFonts w:ascii="Georgia" w:hAnsi="Georgia"/>
          <w:sz w:val="28"/>
          <w:szCs w:val="28"/>
        </w:rPr>
      </w:pPr>
    </w:p>
    <w:p w14:paraId="1E7C7377" w14:textId="77777777" w:rsidR="00A71FA1" w:rsidRDefault="00A71FA1" w:rsidP="002657CD">
      <w:pPr>
        <w:rPr>
          <w:rFonts w:ascii="Georgia" w:hAnsi="Georgia"/>
          <w:sz w:val="28"/>
          <w:szCs w:val="28"/>
        </w:rPr>
      </w:pPr>
    </w:p>
    <w:p w14:paraId="1E459F50" w14:textId="77777777" w:rsidR="00A71FA1" w:rsidRDefault="00A71FA1" w:rsidP="002657CD">
      <w:pPr>
        <w:rPr>
          <w:rFonts w:ascii="Georgia" w:hAnsi="Georgia"/>
          <w:sz w:val="28"/>
          <w:szCs w:val="28"/>
        </w:rPr>
      </w:pPr>
    </w:p>
    <w:p w14:paraId="30E12D69" w14:textId="42093820" w:rsidR="00216350" w:rsidRDefault="00A86EB2" w:rsidP="00A86EB2">
      <w:pPr>
        <w:pStyle w:val="ListParagraph"/>
        <w:numPr>
          <w:ilvl w:val="0"/>
          <w:numId w:val="1"/>
        </w:numPr>
        <w:rPr>
          <w:rFonts w:ascii="Georgia" w:hAnsi="Georgia"/>
          <w:sz w:val="28"/>
          <w:szCs w:val="28"/>
        </w:rPr>
      </w:pPr>
      <w:r>
        <w:rPr>
          <w:rFonts w:ascii="Georgia" w:hAnsi="Georgia"/>
          <w:sz w:val="28"/>
          <w:szCs w:val="28"/>
        </w:rPr>
        <w:t>707-709 Main Street (from Waltham Historical Society</w:t>
      </w:r>
      <w:r w:rsidR="00891842">
        <w:rPr>
          <w:rFonts w:ascii="Georgia" w:hAnsi="Georgia"/>
          <w:sz w:val="28"/>
          <w:szCs w:val="28"/>
        </w:rPr>
        <w:t xml:space="preserve"> Report</w:t>
      </w:r>
      <w:r>
        <w:rPr>
          <w:rFonts w:ascii="Georgia" w:hAnsi="Georgia"/>
          <w:sz w:val="28"/>
          <w:szCs w:val="28"/>
        </w:rPr>
        <w:t>)</w:t>
      </w:r>
    </w:p>
    <w:p w14:paraId="20CB1FCD" w14:textId="67DC47B2" w:rsidR="00A86EB2" w:rsidRDefault="00A86EB2" w:rsidP="00A86EB2">
      <w:pPr>
        <w:rPr>
          <w:rFonts w:ascii="Georgia" w:hAnsi="Georgia"/>
          <w:sz w:val="28"/>
          <w:szCs w:val="28"/>
        </w:rPr>
      </w:pPr>
      <w:r>
        <w:rPr>
          <w:rFonts w:ascii="Georgia" w:hAnsi="Georgia"/>
          <w:sz w:val="28"/>
          <w:szCs w:val="28"/>
        </w:rPr>
        <w:t>Timeline:</w:t>
      </w:r>
    </w:p>
    <w:p w14:paraId="2FFFE67F" w14:textId="77777777" w:rsidR="00A86EB2" w:rsidRPr="00891842" w:rsidRDefault="00A86EB2" w:rsidP="00A86EB2">
      <w:pPr>
        <w:ind w:left="720" w:hanging="720"/>
        <w:rPr>
          <w:rFonts w:ascii="Georgia" w:hAnsi="Georgia"/>
          <w:sz w:val="28"/>
          <w:szCs w:val="28"/>
        </w:rPr>
      </w:pPr>
      <w:r w:rsidRPr="00891842">
        <w:rPr>
          <w:rFonts w:ascii="Georgia" w:hAnsi="Georgia"/>
          <w:sz w:val="28"/>
          <w:szCs w:val="28"/>
        </w:rPr>
        <w:t>1860</w:t>
      </w:r>
      <w:r w:rsidRPr="00891842">
        <w:rPr>
          <w:rFonts w:ascii="Georgia" w:hAnsi="Georgia"/>
          <w:sz w:val="28"/>
          <w:szCs w:val="28"/>
        </w:rPr>
        <w:tab/>
        <w:t>Census, Asher Bamber &amp; John Munster both listed in North End of Boston (different addresses)</w:t>
      </w:r>
    </w:p>
    <w:p w14:paraId="073A52D5" w14:textId="77777777" w:rsidR="00A86EB2" w:rsidRPr="00891842" w:rsidRDefault="00A86EB2" w:rsidP="00A86EB2">
      <w:pPr>
        <w:ind w:left="720" w:hanging="720"/>
        <w:rPr>
          <w:rFonts w:ascii="Georgia" w:hAnsi="Georgia"/>
          <w:sz w:val="28"/>
          <w:szCs w:val="28"/>
        </w:rPr>
      </w:pPr>
      <w:r w:rsidRPr="00891842">
        <w:rPr>
          <w:rFonts w:ascii="Georgia" w:hAnsi="Georgia"/>
          <w:sz w:val="28"/>
          <w:szCs w:val="28"/>
        </w:rPr>
        <w:t>1865</w:t>
      </w:r>
      <w:r w:rsidRPr="00891842">
        <w:rPr>
          <w:rFonts w:ascii="Georgia" w:hAnsi="Georgia"/>
          <w:sz w:val="28"/>
          <w:szCs w:val="28"/>
        </w:rPr>
        <w:tab/>
        <w:t>Census, Asher Bamber &amp; John Munster listed in Waltham (different addresses)</w:t>
      </w:r>
    </w:p>
    <w:p w14:paraId="63887C2F" w14:textId="77777777" w:rsidR="00A86EB2" w:rsidRPr="00891842" w:rsidRDefault="00A86EB2" w:rsidP="00A86EB2">
      <w:pPr>
        <w:ind w:left="720" w:hanging="720"/>
        <w:rPr>
          <w:rFonts w:ascii="Georgia" w:hAnsi="Georgia"/>
          <w:sz w:val="28"/>
          <w:szCs w:val="28"/>
        </w:rPr>
      </w:pPr>
      <w:r w:rsidRPr="00891842">
        <w:rPr>
          <w:rFonts w:ascii="Georgia" w:hAnsi="Georgia"/>
          <w:sz w:val="28"/>
          <w:szCs w:val="28"/>
        </w:rPr>
        <w:t>1873</w:t>
      </w:r>
      <w:r w:rsidRPr="00891842">
        <w:rPr>
          <w:rFonts w:ascii="Georgia" w:hAnsi="Georgia"/>
          <w:sz w:val="28"/>
          <w:szCs w:val="28"/>
        </w:rPr>
        <w:tab/>
        <w:t>Passenger list, Asher Bamber &amp; John Munster travel from Boston to Liverpool on steamer, Olympus [Boston Globe, 8 July 1873]</w:t>
      </w:r>
    </w:p>
    <w:p w14:paraId="061109DE" w14:textId="77777777" w:rsidR="00A86EB2" w:rsidRPr="00891842" w:rsidRDefault="00A86EB2" w:rsidP="00A86EB2">
      <w:pPr>
        <w:rPr>
          <w:rFonts w:ascii="Georgia" w:hAnsi="Georgia"/>
          <w:sz w:val="28"/>
          <w:szCs w:val="28"/>
        </w:rPr>
      </w:pPr>
      <w:r w:rsidRPr="00891842">
        <w:rPr>
          <w:rFonts w:ascii="Georgia" w:hAnsi="Georgia"/>
          <w:sz w:val="28"/>
          <w:szCs w:val="28"/>
        </w:rPr>
        <w:t>1874</w:t>
      </w:r>
      <w:r w:rsidRPr="00891842">
        <w:rPr>
          <w:rFonts w:ascii="Georgia" w:hAnsi="Georgia"/>
          <w:sz w:val="28"/>
          <w:szCs w:val="28"/>
        </w:rPr>
        <w:tab/>
        <w:t>Deed, June, Otis E. Hunt M.D. of Newton to Asher Bamber &amp; John Munster [MLR 1312/52]</w:t>
      </w:r>
    </w:p>
    <w:p w14:paraId="56B4479D" w14:textId="77777777" w:rsidR="00A86EB2" w:rsidRPr="00891842" w:rsidRDefault="00A86EB2" w:rsidP="00A86EB2">
      <w:pPr>
        <w:rPr>
          <w:rFonts w:ascii="Georgia" w:hAnsi="Georgia"/>
          <w:sz w:val="28"/>
          <w:szCs w:val="28"/>
        </w:rPr>
      </w:pPr>
      <w:r w:rsidRPr="00891842">
        <w:rPr>
          <w:rFonts w:ascii="Georgia" w:hAnsi="Georgia"/>
          <w:sz w:val="28"/>
          <w:szCs w:val="28"/>
        </w:rPr>
        <w:t>1874</w:t>
      </w:r>
      <w:r w:rsidRPr="00891842">
        <w:rPr>
          <w:rFonts w:ascii="Georgia" w:hAnsi="Georgia"/>
          <w:sz w:val="28"/>
          <w:szCs w:val="28"/>
        </w:rPr>
        <w:tab/>
        <w:t>Mortgage, Asher Bamber &amp; John Munster to Otis E. Hunt [MLR 1312/53]</w:t>
      </w:r>
    </w:p>
    <w:p w14:paraId="5D2C3431" w14:textId="77777777" w:rsidR="00A86EB2" w:rsidRPr="00891842" w:rsidRDefault="00A86EB2" w:rsidP="00A86EB2">
      <w:pPr>
        <w:ind w:left="720" w:hanging="720"/>
        <w:rPr>
          <w:rFonts w:ascii="Georgia" w:hAnsi="Georgia"/>
          <w:sz w:val="28"/>
          <w:szCs w:val="28"/>
        </w:rPr>
      </w:pPr>
      <w:r w:rsidRPr="00891842">
        <w:rPr>
          <w:rFonts w:ascii="Georgia" w:hAnsi="Georgia"/>
          <w:sz w:val="28"/>
          <w:szCs w:val="28"/>
        </w:rPr>
        <w:t>1874</w:t>
      </w:r>
      <w:r w:rsidRPr="00891842">
        <w:rPr>
          <w:rFonts w:ascii="Georgia" w:hAnsi="Georgia"/>
          <w:sz w:val="28"/>
          <w:szCs w:val="28"/>
        </w:rPr>
        <w:tab/>
        <w:t>Lease, July, Asher Bamber &amp; John Munster to Thomas Kelley &amp; Patrick Coann [MLR 1315/53] includes erection of carriage house and livery stable</w:t>
      </w:r>
    </w:p>
    <w:p w14:paraId="03DB13B2" w14:textId="77777777" w:rsidR="00A86EB2" w:rsidRPr="00891842" w:rsidRDefault="00A86EB2" w:rsidP="00A86EB2">
      <w:pPr>
        <w:ind w:left="720" w:hanging="720"/>
        <w:rPr>
          <w:rFonts w:ascii="Georgia" w:hAnsi="Georgia"/>
          <w:sz w:val="28"/>
          <w:szCs w:val="28"/>
        </w:rPr>
      </w:pPr>
      <w:r w:rsidRPr="00891842">
        <w:rPr>
          <w:rFonts w:ascii="Georgia" w:hAnsi="Georgia"/>
          <w:sz w:val="28"/>
          <w:szCs w:val="28"/>
        </w:rPr>
        <w:t>1877</w:t>
      </w:r>
      <w:r w:rsidRPr="00891842">
        <w:rPr>
          <w:rFonts w:ascii="Georgia" w:hAnsi="Georgia"/>
          <w:sz w:val="28"/>
          <w:szCs w:val="28"/>
        </w:rPr>
        <w:tab/>
        <w:t xml:space="preserve">Waltham directory, 1) Asher Bamber, merchant tailor and </w:t>
      </w:r>
      <w:proofErr w:type="spellStart"/>
      <w:r w:rsidRPr="00891842">
        <w:rPr>
          <w:rFonts w:ascii="Georgia" w:hAnsi="Georgia"/>
          <w:sz w:val="28"/>
          <w:szCs w:val="28"/>
        </w:rPr>
        <w:t>ready made</w:t>
      </w:r>
      <w:proofErr w:type="spellEnd"/>
      <w:r w:rsidRPr="00891842">
        <w:rPr>
          <w:rFonts w:ascii="Georgia" w:hAnsi="Georgia"/>
          <w:sz w:val="28"/>
          <w:szCs w:val="28"/>
        </w:rPr>
        <w:t xml:space="preserve"> clothing, Prospect Block, Main, house Russell St., near Harvard; 2) Boston Branch Grocery, F. J. Perkins, manager, Prospect Block, Main; 3) Meinard Rottler, restaurant, Prospect Block, h. 15 Central; 4) Coen &amp; Kelley (Patrick Coen &amp; Thomas Kelley), livery stable, rear Prospect Block, Main; </w:t>
      </w:r>
    </w:p>
    <w:p w14:paraId="068F499E" w14:textId="77777777" w:rsidR="00A86EB2" w:rsidRPr="00891842" w:rsidRDefault="00A86EB2" w:rsidP="00A86EB2">
      <w:pPr>
        <w:ind w:left="720" w:hanging="720"/>
        <w:rPr>
          <w:rFonts w:ascii="Georgia" w:hAnsi="Georgia"/>
          <w:sz w:val="28"/>
          <w:szCs w:val="28"/>
        </w:rPr>
      </w:pPr>
      <w:r w:rsidRPr="00891842">
        <w:rPr>
          <w:rFonts w:ascii="Georgia" w:hAnsi="Georgia"/>
          <w:sz w:val="28"/>
          <w:szCs w:val="28"/>
        </w:rPr>
        <w:t>1883</w:t>
      </w:r>
      <w:r w:rsidRPr="00891842">
        <w:rPr>
          <w:rFonts w:ascii="Georgia" w:hAnsi="Georgia"/>
          <w:sz w:val="28"/>
          <w:szCs w:val="28"/>
        </w:rPr>
        <w:tab/>
        <w:t>Death, John Munster</w:t>
      </w:r>
    </w:p>
    <w:p w14:paraId="4207DD7B" w14:textId="77777777" w:rsidR="00A86EB2" w:rsidRPr="00891842" w:rsidRDefault="00A86EB2" w:rsidP="00A86EB2">
      <w:pPr>
        <w:ind w:left="720" w:hanging="720"/>
        <w:rPr>
          <w:rFonts w:ascii="Georgia" w:hAnsi="Georgia"/>
          <w:sz w:val="28"/>
          <w:szCs w:val="28"/>
        </w:rPr>
      </w:pPr>
      <w:r w:rsidRPr="00891842">
        <w:rPr>
          <w:rFonts w:ascii="Georgia" w:hAnsi="Georgia"/>
          <w:sz w:val="28"/>
          <w:szCs w:val="28"/>
        </w:rPr>
        <w:t>1886</w:t>
      </w:r>
      <w:r w:rsidRPr="00891842">
        <w:rPr>
          <w:rFonts w:ascii="Georgia" w:hAnsi="Georgia"/>
          <w:sz w:val="28"/>
          <w:szCs w:val="28"/>
        </w:rPr>
        <w:tab/>
        <w:t>Boston directory, Asher Bamber, clerk, h. 47 E. Newton</w:t>
      </w:r>
    </w:p>
    <w:p w14:paraId="42C8A288" w14:textId="77777777" w:rsidR="00A86EB2" w:rsidRPr="00891842" w:rsidRDefault="00A86EB2" w:rsidP="00A86EB2">
      <w:pPr>
        <w:ind w:left="720" w:hanging="720"/>
        <w:rPr>
          <w:rFonts w:ascii="Georgia" w:hAnsi="Georgia"/>
          <w:sz w:val="28"/>
          <w:szCs w:val="28"/>
        </w:rPr>
      </w:pPr>
      <w:r w:rsidRPr="00891842">
        <w:rPr>
          <w:rFonts w:ascii="Georgia" w:hAnsi="Georgia"/>
          <w:sz w:val="28"/>
          <w:szCs w:val="28"/>
        </w:rPr>
        <w:t>1889</w:t>
      </w:r>
      <w:r w:rsidRPr="00891842">
        <w:rPr>
          <w:rFonts w:ascii="Georgia" w:hAnsi="Georgia"/>
          <w:sz w:val="28"/>
          <w:szCs w:val="28"/>
        </w:rPr>
        <w:tab/>
        <w:t>Bankruptcy, Asher Bamber</w:t>
      </w:r>
    </w:p>
    <w:p w14:paraId="261015FF" w14:textId="77777777" w:rsidR="00A86EB2" w:rsidRPr="00891842" w:rsidRDefault="00A86EB2" w:rsidP="00A86EB2">
      <w:pPr>
        <w:ind w:left="720" w:hanging="720"/>
        <w:rPr>
          <w:rFonts w:ascii="Georgia" w:hAnsi="Georgia"/>
          <w:sz w:val="28"/>
          <w:szCs w:val="28"/>
        </w:rPr>
      </w:pPr>
      <w:r w:rsidRPr="00891842">
        <w:rPr>
          <w:rFonts w:ascii="Georgia" w:hAnsi="Georgia"/>
          <w:sz w:val="28"/>
          <w:szCs w:val="28"/>
        </w:rPr>
        <w:t>1902</w:t>
      </w:r>
      <w:r w:rsidRPr="00891842">
        <w:rPr>
          <w:rFonts w:ascii="Georgia" w:hAnsi="Georgia"/>
          <w:sz w:val="28"/>
          <w:szCs w:val="28"/>
        </w:rPr>
        <w:tab/>
        <w:t>Foreclosure deed &amp; Affidavit of sale, Otis E. Hunt to Melvin M. Johnson [MLR 2960/81-83]</w:t>
      </w:r>
    </w:p>
    <w:p w14:paraId="7A686B35" w14:textId="77777777" w:rsidR="007A2771" w:rsidRDefault="007A2771" w:rsidP="007A2771">
      <w:pPr>
        <w:jc w:val="center"/>
      </w:pPr>
      <w:r>
        <w:rPr>
          <w:noProof/>
        </w:rPr>
        <w:lastRenderedPageBreak/>
        <mc:AlternateContent>
          <mc:Choice Requires="wps">
            <w:drawing>
              <wp:anchor distT="0" distB="0" distL="114300" distR="114300" simplePos="0" relativeHeight="251662336" behindDoc="0" locked="0" layoutInCell="1" allowOverlap="1" wp14:anchorId="1925F192" wp14:editId="5FB12569">
                <wp:simplePos x="0" y="0"/>
                <wp:positionH relativeFrom="column">
                  <wp:posOffset>1856449</wp:posOffset>
                </wp:positionH>
                <wp:positionV relativeFrom="paragraph">
                  <wp:posOffset>1393098</wp:posOffset>
                </wp:positionV>
                <wp:extent cx="954530" cy="1988082"/>
                <wp:effectExtent l="19050" t="19050" r="17145" b="12700"/>
                <wp:wrapNone/>
                <wp:docPr id="284998820" name="Rectangle 8"/>
                <wp:cNvGraphicFramePr/>
                <a:graphic xmlns:a="http://schemas.openxmlformats.org/drawingml/2006/main">
                  <a:graphicData uri="http://schemas.microsoft.com/office/word/2010/wordprocessingShape">
                    <wps:wsp>
                      <wps:cNvSpPr/>
                      <wps:spPr>
                        <a:xfrm>
                          <a:off x="0" y="0"/>
                          <a:ext cx="954530" cy="198808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D678A" id="Rectangle 8" o:spid="_x0000_s1026" style="position:absolute;margin-left:146.2pt;margin-top:109.7pt;width:75.15pt;height:156.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" filled="f" strokecolor="red" strokeweight="2.25pt"/>
            </w:pict>
          </mc:Fallback>
        </mc:AlternateContent>
      </w:r>
      <w:r>
        <w:rPr>
          <w:noProof/>
        </w:rPr>
        <w:drawing>
          <wp:inline distT="0" distB="0" distL="0" distR="0" wp14:anchorId="29F50FE7" wp14:editId="396FD3D4">
            <wp:extent cx="4657371" cy="3474147"/>
            <wp:effectExtent l="0" t="0" r="0" b="0"/>
            <wp:docPr id="1907173775"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73775" name="Picture 7" descr="A map of a city&#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669555" cy="3483235"/>
                    </a:xfrm>
                    <a:prstGeom prst="rect">
                      <a:avLst/>
                    </a:prstGeom>
                  </pic:spPr>
                </pic:pic>
              </a:graphicData>
            </a:graphic>
          </wp:inline>
        </w:drawing>
      </w:r>
    </w:p>
    <w:p w14:paraId="12E5D2DB" w14:textId="77777777" w:rsidR="007A2771" w:rsidRDefault="007A2771" w:rsidP="007A2771">
      <w:pPr>
        <w:jc w:val="center"/>
      </w:pPr>
      <w:r>
        <w:t>1875 map showing owners, Bamber &amp; Munster</w:t>
      </w:r>
    </w:p>
    <w:p w14:paraId="15D6E61D" w14:textId="77777777" w:rsidR="007A2771" w:rsidRDefault="007A2771" w:rsidP="007A2771">
      <w:pPr>
        <w:jc w:val="center"/>
      </w:pPr>
    </w:p>
    <w:p w14:paraId="7046B61B" w14:textId="77777777" w:rsidR="007A2771" w:rsidRDefault="007A2771" w:rsidP="007A2771">
      <w:pPr>
        <w:jc w:val="center"/>
      </w:pPr>
      <w:r>
        <w:rPr>
          <w:noProof/>
        </w:rPr>
        <mc:AlternateContent>
          <mc:Choice Requires="wps">
            <w:drawing>
              <wp:anchor distT="0" distB="0" distL="114300" distR="114300" simplePos="0" relativeHeight="251661312" behindDoc="0" locked="0" layoutInCell="1" allowOverlap="1" wp14:anchorId="121E4DBA" wp14:editId="2F9886A7">
                <wp:simplePos x="0" y="0"/>
                <wp:positionH relativeFrom="column">
                  <wp:posOffset>1848984</wp:posOffset>
                </wp:positionH>
                <wp:positionV relativeFrom="paragraph">
                  <wp:posOffset>1499007</wp:posOffset>
                </wp:positionV>
                <wp:extent cx="805616" cy="1823006"/>
                <wp:effectExtent l="171450" t="76200" r="185420" b="82550"/>
                <wp:wrapNone/>
                <wp:docPr id="559621184" name="Rectangle 5"/>
                <wp:cNvGraphicFramePr/>
                <a:graphic xmlns:a="http://schemas.openxmlformats.org/drawingml/2006/main">
                  <a:graphicData uri="http://schemas.microsoft.com/office/word/2010/wordprocessingShape">
                    <wps:wsp>
                      <wps:cNvSpPr/>
                      <wps:spPr>
                        <a:xfrm rot="21005898">
                          <a:off x="0" y="0"/>
                          <a:ext cx="805616" cy="182300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F2237" id="Rectangle 5" o:spid="_x0000_s1026" style="position:absolute;margin-left:145.6pt;margin-top:118.05pt;width:63.45pt;height:143.55pt;rotation:-64891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" filled="f" strokecolor="red" strokeweight="2.25pt"/>
            </w:pict>
          </mc:Fallback>
        </mc:AlternateContent>
      </w:r>
      <w:r>
        <w:rPr>
          <w:noProof/>
        </w:rPr>
        <w:drawing>
          <wp:inline distT="0" distB="0" distL="0" distR="0" wp14:anchorId="09728359" wp14:editId="0925962C">
            <wp:extent cx="4609346" cy="3555007"/>
            <wp:effectExtent l="0" t="0" r="1270" b="7620"/>
            <wp:docPr id="902654301" name="Picture 4"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4301" name="Picture 4" descr="A close-up of a map&#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616759" cy="3560724"/>
                    </a:xfrm>
                    <a:prstGeom prst="rect">
                      <a:avLst/>
                    </a:prstGeom>
                  </pic:spPr>
                </pic:pic>
              </a:graphicData>
            </a:graphic>
          </wp:inline>
        </w:drawing>
      </w:r>
    </w:p>
    <w:p w14:paraId="1D59CD4E" w14:textId="643086A4" w:rsidR="007A2771" w:rsidRDefault="007A2771" w:rsidP="00E67A09">
      <w:pPr>
        <w:jc w:val="center"/>
      </w:pPr>
      <w:r>
        <w:t xml:space="preserve">1886 map, Prospect Block </w:t>
      </w:r>
    </w:p>
    <w:p w14:paraId="7D46B0DD" w14:textId="7C509BDC" w:rsidR="00E67A09" w:rsidRDefault="00E67A09" w:rsidP="00E67A09">
      <w:pPr>
        <w:pStyle w:val="ListParagraph"/>
        <w:numPr>
          <w:ilvl w:val="0"/>
          <w:numId w:val="1"/>
        </w:numPr>
        <w:rPr>
          <w:rFonts w:ascii="Georgia" w:hAnsi="Georgia"/>
          <w:sz w:val="28"/>
          <w:szCs w:val="28"/>
        </w:rPr>
      </w:pPr>
      <w:r w:rsidRPr="00E67A09">
        <w:rPr>
          <w:rFonts w:ascii="Georgia" w:hAnsi="Georgia"/>
          <w:sz w:val="28"/>
          <w:szCs w:val="28"/>
        </w:rPr>
        <w:lastRenderedPageBreak/>
        <w:t>Golde Bamber</w:t>
      </w:r>
      <w:r w:rsidR="00B87DC9">
        <w:rPr>
          <w:rFonts w:ascii="Georgia" w:hAnsi="Georgia"/>
          <w:sz w:val="28"/>
          <w:szCs w:val="28"/>
        </w:rPr>
        <w:t xml:space="preserve"> (1862-1951) </w:t>
      </w:r>
    </w:p>
    <w:p w14:paraId="0E5EFE9F" w14:textId="5158ABF8" w:rsidR="00B87DC9" w:rsidRDefault="00B87DC9" w:rsidP="00B87DC9">
      <w:pPr>
        <w:pStyle w:val="ListParagraph"/>
        <w:rPr>
          <w:rFonts w:ascii="Georgia" w:hAnsi="Georgia"/>
          <w:sz w:val="28"/>
          <w:szCs w:val="28"/>
        </w:rPr>
      </w:pPr>
      <w:r>
        <w:rPr>
          <w:rFonts w:ascii="Georgia" w:hAnsi="Georgia"/>
          <w:sz w:val="28"/>
          <w:szCs w:val="28"/>
        </w:rPr>
        <w:t xml:space="preserve">Article in </w:t>
      </w:r>
      <w:r w:rsidR="005875DD">
        <w:rPr>
          <w:rFonts w:ascii="Georgia" w:hAnsi="Georgia"/>
          <w:sz w:val="28"/>
          <w:szCs w:val="28"/>
        </w:rPr>
        <w:t>Jewish Women’s Archive Shalvi/Hyman Encyclopedia of Jewish Women</w:t>
      </w:r>
      <w:r w:rsidR="001D4926">
        <w:rPr>
          <w:rStyle w:val="FootnoteReference"/>
          <w:rFonts w:ascii="Georgia" w:hAnsi="Georgia"/>
          <w:sz w:val="28"/>
          <w:szCs w:val="28"/>
        </w:rPr>
        <w:footnoteReference w:id="1"/>
      </w:r>
      <w:r w:rsidR="005875DD">
        <w:rPr>
          <w:rFonts w:ascii="Georgia" w:hAnsi="Georgia"/>
          <w:sz w:val="28"/>
          <w:szCs w:val="28"/>
        </w:rPr>
        <w:t xml:space="preserve"> </w:t>
      </w:r>
    </w:p>
    <w:p w14:paraId="5061414D" w14:textId="77777777" w:rsidR="001D4926" w:rsidRDefault="001D4926" w:rsidP="00B87DC9">
      <w:pPr>
        <w:pStyle w:val="ListParagraph"/>
        <w:rPr>
          <w:rFonts w:ascii="Georgia" w:hAnsi="Georgia"/>
          <w:sz w:val="28"/>
          <w:szCs w:val="28"/>
        </w:rPr>
      </w:pPr>
    </w:p>
    <w:tbl>
      <w:tblPr>
        <w:tblStyle w:val="TableGrid"/>
        <w:tblW w:w="0" w:type="auto"/>
        <w:tblInd w:w="720" w:type="dxa"/>
        <w:tblLook w:val="04A0" w:firstRow="1" w:lastRow="0" w:firstColumn="1" w:lastColumn="0" w:noHBand="0" w:noVBand="1"/>
      </w:tblPr>
      <w:tblGrid>
        <w:gridCol w:w="8630"/>
      </w:tblGrid>
      <w:tr w:rsidR="00167A4E" w14:paraId="24B1C642" w14:textId="77777777" w:rsidTr="00167A4E">
        <w:tc>
          <w:tcPr>
            <w:tcW w:w="9350" w:type="dxa"/>
          </w:tcPr>
          <w:p w14:paraId="42B71451" w14:textId="77777777" w:rsidR="0026412B" w:rsidRDefault="0026412B" w:rsidP="00E05605">
            <w:pPr>
              <w:rPr>
                <w:rFonts w:ascii="Georgia" w:hAnsi="Georgia"/>
                <w:sz w:val="28"/>
                <w:szCs w:val="28"/>
              </w:rPr>
            </w:pPr>
            <w:r w:rsidRPr="00E05605">
              <w:rPr>
                <w:rFonts w:ascii="Georgia" w:hAnsi="Georgia"/>
                <w:sz w:val="28"/>
                <w:szCs w:val="28"/>
              </w:rPr>
              <w:t>Golde Bamber was born in 1862 to an elite German Jewish family in Boston. As an influx of Eastern European immigrants exploded Boston’s Jewish population in the 1880s, Bamber was compelled to join Jewish leadership in the city dedicated to serving this new immigrant community. On Bamber’s recommendation, the Hebrew Industrial School for Girls was opened in 1890, and Bamber served as its director for four decades. She supported vocational training, and she believed that Jewish and American traditions were compatible. The school was highly successful – it served as a pioneering model for the entire settlement house movement in the Northeast. In 1922, the school became the Hecht Neighborhood House. Bamber continued serving as its director, introducing one of the nation’s first nursery schools there in 1925.</w:t>
            </w:r>
          </w:p>
          <w:p w14:paraId="33AA4029" w14:textId="77777777" w:rsidR="00C6117A" w:rsidRPr="00E05605" w:rsidRDefault="00C6117A" w:rsidP="00E05605">
            <w:pPr>
              <w:rPr>
                <w:rFonts w:ascii="Georgia" w:hAnsi="Georgia"/>
                <w:sz w:val="28"/>
                <w:szCs w:val="28"/>
              </w:rPr>
            </w:pPr>
          </w:p>
          <w:p w14:paraId="049334FB" w14:textId="77777777" w:rsidR="0026412B" w:rsidRPr="00C6117A" w:rsidRDefault="0026412B" w:rsidP="00C6117A">
            <w:pPr>
              <w:rPr>
                <w:rFonts w:ascii="Georgia" w:hAnsi="Georgia"/>
                <w:b/>
                <w:bCs/>
                <w:sz w:val="28"/>
                <w:szCs w:val="28"/>
              </w:rPr>
            </w:pPr>
            <w:r w:rsidRPr="00C6117A">
              <w:rPr>
                <w:rFonts w:ascii="Georgia" w:hAnsi="Georgia"/>
                <w:b/>
                <w:bCs/>
                <w:sz w:val="28"/>
                <w:szCs w:val="28"/>
              </w:rPr>
              <w:t>Article</w:t>
            </w:r>
          </w:p>
          <w:p w14:paraId="1E643496" w14:textId="4743835B" w:rsidR="0026412B" w:rsidRPr="00C6117A" w:rsidRDefault="0026412B" w:rsidP="00C6117A">
            <w:pPr>
              <w:rPr>
                <w:rFonts w:ascii="Georgia" w:hAnsi="Georgia"/>
                <w:sz w:val="28"/>
                <w:szCs w:val="28"/>
              </w:rPr>
            </w:pPr>
            <w:r w:rsidRPr="00C6117A">
              <w:rPr>
                <w:rFonts w:ascii="Georgia" w:hAnsi="Georgia"/>
                <w:sz w:val="28"/>
                <w:szCs w:val="28"/>
              </w:rPr>
              <w:t>Described as a stiff Victorian woman from an old Boston Jewish family, Golde Bamber applied her education and cultured upbringing to become one of Boston’s pioneer social reformers and educators among the city’s Eastern European immigrants</w:t>
            </w:r>
            <w:r w:rsidR="00C6117A">
              <w:rPr>
                <w:rFonts w:ascii="Georgia" w:hAnsi="Georgia"/>
                <w:sz w:val="28"/>
                <w:szCs w:val="28"/>
              </w:rPr>
              <w:t>.</w:t>
            </w:r>
          </w:p>
          <w:p w14:paraId="2EF4B5C9" w14:textId="77777777" w:rsidR="00C6117A" w:rsidRDefault="00C6117A" w:rsidP="00C6117A">
            <w:pPr>
              <w:rPr>
                <w:rFonts w:ascii="Georgia" w:hAnsi="Georgia"/>
                <w:sz w:val="28"/>
                <w:szCs w:val="28"/>
              </w:rPr>
            </w:pPr>
          </w:p>
          <w:p w14:paraId="05422933" w14:textId="787B583B" w:rsidR="0026412B" w:rsidRDefault="0026412B" w:rsidP="00C6117A">
            <w:pPr>
              <w:rPr>
                <w:rFonts w:ascii="Georgia" w:hAnsi="Georgia"/>
                <w:sz w:val="28"/>
                <w:szCs w:val="28"/>
              </w:rPr>
            </w:pPr>
            <w:r w:rsidRPr="00C6117A">
              <w:rPr>
                <w:rFonts w:ascii="Georgia" w:hAnsi="Georgia"/>
                <w:sz w:val="28"/>
                <w:szCs w:val="28"/>
              </w:rPr>
              <w:t>Born in Boston in 1862, Bamber was raised among the city’s small, elite German Jewish community. In 1879, she graduated from the Boston University’s School of Oratory and began teaching elocution lessons privately and at the Young Men’s Hebrew Association. But the great tide of Eastern European immigrants that exploded Boston’s Jewish population from approximately five thousand in 1880 to forty thousand by 1900 drew Bamber’s attention, and she joined the female Jewish leadership in Boston dedicated to relieving the immigrants’ poverty and preparing them for life as fully integrated American citizens.</w:t>
            </w:r>
          </w:p>
          <w:p w14:paraId="115CFFA1" w14:textId="77777777" w:rsidR="00ED00EC" w:rsidRPr="00C6117A" w:rsidRDefault="00ED00EC" w:rsidP="00C6117A">
            <w:pPr>
              <w:rPr>
                <w:rFonts w:ascii="Georgia" w:hAnsi="Georgia"/>
                <w:sz w:val="28"/>
                <w:szCs w:val="28"/>
              </w:rPr>
            </w:pPr>
          </w:p>
          <w:p w14:paraId="23AA45CC" w14:textId="77777777" w:rsidR="00CF2BE7" w:rsidRDefault="0026412B" w:rsidP="00ED00EC">
            <w:pPr>
              <w:rPr>
                <w:rFonts w:ascii="Georgia" w:hAnsi="Georgia"/>
                <w:sz w:val="28"/>
                <w:szCs w:val="28"/>
              </w:rPr>
            </w:pPr>
            <w:r w:rsidRPr="00ED00EC">
              <w:rPr>
                <w:rFonts w:ascii="Georgia" w:hAnsi="Georgia"/>
                <w:sz w:val="28"/>
                <w:szCs w:val="28"/>
              </w:rPr>
              <w:t xml:space="preserve">Invited by Lina Hecht in 1889 to evaluate Hecht’s new Jewish Sunday school, Bamber instead recommended a program that </w:t>
            </w:r>
            <w:r w:rsidRPr="00ED00EC">
              <w:rPr>
                <w:rFonts w:ascii="Georgia" w:hAnsi="Georgia"/>
                <w:sz w:val="28"/>
                <w:szCs w:val="28"/>
              </w:rPr>
              <w:lastRenderedPageBreak/>
              <w:t xml:space="preserve">would teach immigrant girls skills in sewing and cooking, as well as provide a basic American and Jewish education. In January 1890, the Hebrew Industrial School for Girls (HIS) opened with twenty pupils on Hanover Street in Boston’s North End. Funded by Lina and Jacob Hecht, Bamber served as the school’s superintendent and director for four decades. In 1892, its partner Hebrew Industrial School for Boys opened on Chambers Street in Boston’s West End. In their first five years alone, Bamber’s schools trained more than twelve hundred children to be “wage earners, breadwinners, and self-respecting citizens,” overcoming initial opposition within the Jewish community to vocational training and manual labor. </w:t>
            </w:r>
          </w:p>
          <w:p w14:paraId="1C1B6C38" w14:textId="77777777" w:rsidR="00CF2BE7" w:rsidRDefault="00CF2BE7" w:rsidP="00ED00EC">
            <w:pPr>
              <w:rPr>
                <w:rFonts w:ascii="Georgia" w:hAnsi="Georgia"/>
                <w:sz w:val="28"/>
                <w:szCs w:val="28"/>
              </w:rPr>
            </w:pPr>
          </w:p>
          <w:p w14:paraId="563340AC" w14:textId="56447A7A" w:rsidR="0026412B" w:rsidRDefault="0026412B" w:rsidP="00ED00EC">
            <w:pPr>
              <w:rPr>
                <w:rFonts w:ascii="Georgia" w:hAnsi="Georgia"/>
                <w:sz w:val="28"/>
                <w:szCs w:val="28"/>
              </w:rPr>
            </w:pPr>
            <w:r w:rsidRPr="00ED00EC">
              <w:rPr>
                <w:rFonts w:ascii="Georgia" w:hAnsi="Georgia"/>
                <w:sz w:val="28"/>
                <w:szCs w:val="28"/>
              </w:rPr>
              <w:t>Educational clubs, vocational classes, even a “Soap and Water” club, taught good citizenship, self-sufficiency, American manners and morals, and the foundations of Jewish knowledge and culture. The school’s motto, “A good Israelite will make a better citizen,” summarized Bamber’s conviction that Jewish and American traditions were compatible and productive, and not antithetical as Boston’s virulent anti-immigration movement argued. Much of Boston’s non-Jewish leadership agreed.</w:t>
            </w:r>
          </w:p>
          <w:p w14:paraId="7A942DA7" w14:textId="77777777" w:rsidR="00CF2BE7" w:rsidRPr="00ED00EC" w:rsidRDefault="00CF2BE7" w:rsidP="00ED00EC">
            <w:pPr>
              <w:rPr>
                <w:rFonts w:ascii="Georgia" w:hAnsi="Georgia"/>
                <w:sz w:val="28"/>
                <w:szCs w:val="28"/>
              </w:rPr>
            </w:pPr>
          </w:p>
          <w:p w14:paraId="0744FAB4" w14:textId="77777777" w:rsidR="0026412B" w:rsidRDefault="0026412B" w:rsidP="00CF2BE7">
            <w:pPr>
              <w:rPr>
                <w:rFonts w:ascii="Georgia" w:hAnsi="Georgia"/>
                <w:sz w:val="28"/>
                <w:szCs w:val="28"/>
              </w:rPr>
            </w:pPr>
            <w:r w:rsidRPr="00CF2BE7">
              <w:rPr>
                <w:rFonts w:ascii="Georgia" w:hAnsi="Georgia"/>
                <w:sz w:val="28"/>
                <w:szCs w:val="28"/>
              </w:rPr>
              <w:t>The HIS’s successes garnered financial and political support from Boston’s leading Brahmin philanthropists and institutions, including Unitarian Reverend Edward Everett Hale who asserted that “the much-dreaded Russian Jew … because he has been welcomed with wisdom and kindness, proves to be ... a model emigrant.” Bamber’s HIS, along with Boston’s North Bennett Street Industrial School, served as a pioneering model for the entire settlement house movement in the Northeast. Bamber’s own achievements were recognized by Massachusetts Governor Curtis Guild, who appointed her a trustee for the Lyman School for Boys.</w:t>
            </w:r>
          </w:p>
          <w:p w14:paraId="49C4B2EB" w14:textId="77777777" w:rsidR="00A650B1" w:rsidRPr="00CF2BE7" w:rsidRDefault="00A650B1" w:rsidP="00CF2BE7">
            <w:pPr>
              <w:rPr>
                <w:rFonts w:ascii="Georgia" w:hAnsi="Georgia"/>
                <w:sz w:val="28"/>
                <w:szCs w:val="28"/>
              </w:rPr>
            </w:pPr>
          </w:p>
          <w:p w14:paraId="7C52744C" w14:textId="5BCFB359" w:rsidR="0026412B" w:rsidRPr="00A650B1" w:rsidRDefault="0026412B" w:rsidP="00A650B1">
            <w:pPr>
              <w:rPr>
                <w:rFonts w:ascii="Georgia" w:hAnsi="Georgia"/>
                <w:sz w:val="28"/>
                <w:szCs w:val="28"/>
              </w:rPr>
            </w:pPr>
            <w:r w:rsidRPr="00A650B1">
              <w:rPr>
                <w:rFonts w:ascii="Georgia" w:hAnsi="Georgia"/>
                <w:sz w:val="28"/>
                <w:szCs w:val="28"/>
              </w:rPr>
              <w:t>Bamber kept her own education current with her innovations. During the 1890s and early 1900s, she studied vocational guidance and social work with Frederick Allen at Harvard College and Simmons College of Social Work. By the end of World War I, the settlement house approach of the HIS had run its course, and Bamber changed her school with the times. In 1922, the school’s name changed to the Hecht Neighborhood House, and with funds from the bequest of Lina Hecht, purchased a Charles Bullfinch-</w:t>
            </w:r>
            <w:r w:rsidRPr="00A650B1">
              <w:rPr>
                <w:rFonts w:ascii="Georgia" w:hAnsi="Georgia"/>
                <w:sz w:val="28"/>
                <w:szCs w:val="28"/>
              </w:rPr>
              <w:lastRenderedPageBreak/>
              <w:t>designed house on Bowdoin Street in the West End. Bamber served as director until her retirement in 1930, introducing one of the nation’s first nursery schools there in 1925 and transforming the institution from a vocational and educational institution for Jewish children and women to a full-service, nonsectarian community center for the West End’s broadly mixed ethnic population.</w:t>
            </w:r>
          </w:p>
          <w:p w14:paraId="00B21F23" w14:textId="77777777" w:rsidR="00A650B1" w:rsidRDefault="00A650B1" w:rsidP="00A650B1">
            <w:pPr>
              <w:rPr>
                <w:rFonts w:ascii="Georgia" w:hAnsi="Georgia"/>
                <w:sz w:val="28"/>
                <w:szCs w:val="28"/>
              </w:rPr>
            </w:pPr>
          </w:p>
          <w:p w14:paraId="02448E8F" w14:textId="527C0946" w:rsidR="0026412B" w:rsidRDefault="0026412B" w:rsidP="00A650B1">
            <w:pPr>
              <w:rPr>
                <w:rFonts w:ascii="Georgia" w:hAnsi="Georgia"/>
                <w:sz w:val="28"/>
                <w:szCs w:val="28"/>
              </w:rPr>
            </w:pPr>
            <w:r w:rsidRPr="00A650B1">
              <w:rPr>
                <w:rFonts w:ascii="Georgia" w:hAnsi="Georgia"/>
                <w:sz w:val="28"/>
                <w:szCs w:val="28"/>
              </w:rPr>
              <w:t>Golde Bamber was a leader in the emergence of a young, educated, professional class of Jewish women—both from established and immigrant families—who worked cooperatively to create Boston’s new charitable and educational infrastructure for the early twentieth century. Bamber envisioned, institutionalized, and directed new educational structures for the new social landscape. Her pioneering work influenced settlement house, vocational, Jewish, and nursery school education well beyond Boston and well beyond her lifetime.</w:t>
            </w:r>
          </w:p>
          <w:p w14:paraId="46905E00" w14:textId="77777777" w:rsidR="00A650B1" w:rsidRPr="00A650B1" w:rsidRDefault="00A650B1" w:rsidP="00A650B1">
            <w:pPr>
              <w:rPr>
                <w:rFonts w:ascii="Georgia" w:hAnsi="Georgia"/>
                <w:sz w:val="28"/>
                <w:szCs w:val="28"/>
              </w:rPr>
            </w:pPr>
          </w:p>
          <w:p w14:paraId="1B1DBCAC" w14:textId="77777777" w:rsidR="0026412B" w:rsidRPr="00A650B1" w:rsidRDefault="0026412B" w:rsidP="00A650B1">
            <w:pPr>
              <w:rPr>
                <w:rFonts w:ascii="Georgia" w:hAnsi="Georgia"/>
                <w:b/>
                <w:bCs/>
                <w:sz w:val="28"/>
                <w:szCs w:val="28"/>
              </w:rPr>
            </w:pPr>
            <w:r w:rsidRPr="00A650B1">
              <w:rPr>
                <w:rFonts w:ascii="Georgia" w:hAnsi="Georgia"/>
                <w:b/>
                <w:bCs/>
                <w:sz w:val="28"/>
                <w:szCs w:val="28"/>
              </w:rPr>
              <w:t>Bibliography</w:t>
            </w:r>
          </w:p>
          <w:p w14:paraId="5EDBD938" w14:textId="77777777" w:rsidR="0026412B" w:rsidRPr="00A650B1" w:rsidRDefault="0026412B" w:rsidP="00A650B1">
            <w:pPr>
              <w:rPr>
                <w:rFonts w:ascii="Georgia" w:hAnsi="Georgia"/>
                <w:sz w:val="28"/>
                <w:szCs w:val="28"/>
              </w:rPr>
            </w:pPr>
            <w:r w:rsidRPr="00A650B1">
              <w:rPr>
                <w:rFonts w:ascii="Georgia" w:hAnsi="Georgia"/>
                <w:sz w:val="28"/>
                <w:szCs w:val="28"/>
              </w:rPr>
              <w:t>Bamber, Golde. “Russians in Boston.” </w:t>
            </w:r>
            <w:r w:rsidRPr="00A650B1">
              <w:rPr>
                <w:rFonts w:ascii="Georgia" w:hAnsi="Georgia"/>
                <w:i/>
                <w:iCs/>
                <w:sz w:val="28"/>
                <w:szCs w:val="28"/>
              </w:rPr>
              <w:t>Lend a Hand</w:t>
            </w:r>
            <w:r w:rsidRPr="00A650B1">
              <w:rPr>
                <w:rFonts w:ascii="Georgia" w:hAnsi="Georgia"/>
                <w:sz w:val="28"/>
                <w:szCs w:val="28"/>
              </w:rPr>
              <w:t> 8 (1892): 168–172</w:t>
            </w:r>
          </w:p>
          <w:p w14:paraId="332915CE" w14:textId="77777777" w:rsidR="0026412B" w:rsidRPr="00A650B1" w:rsidRDefault="0026412B" w:rsidP="00A650B1">
            <w:pPr>
              <w:rPr>
                <w:rFonts w:ascii="Georgia" w:hAnsi="Georgia"/>
                <w:sz w:val="28"/>
                <w:szCs w:val="28"/>
              </w:rPr>
            </w:pPr>
            <w:r w:rsidRPr="00A650B1">
              <w:rPr>
                <w:rFonts w:ascii="Georgia" w:hAnsi="Georgia"/>
                <w:sz w:val="28"/>
                <w:szCs w:val="28"/>
              </w:rPr>
              <w:t>Combined Jewish Philanthropies of Greater Boston. Papers. American Jewish Historical Society, Waltham, MA/New York, NY</w:t>
            </w:r>
          </w:p>
          <w:p w14:paraId="4A365F38" w14:textId="77777777" w:rsidR="0026412B" w:rsidRPr="00A650B1" w:rsidRDefault="0026412B" w:rsidP="00A650B1">
            <w:pPr>
              <w:rPr>
                <w:rFonts w:ascii="Georgia" w:hAnsi="Georgia"/>
                <w:sz w:val="28"/>
                <w:szCs w:val="28"/>
              </w:rPr>
            </w:pPr>
            <w:r w:rsidRPr="00A650B1">
              <w:rPr>
                <w:rFonts w:ascii="Georgia" w:hAnsi="Georgia"/>
                <w:sz w:val="28"/>
                <w:szCs w:val="28"/>
              </w:rPr>
              <w:t>Hecht Neighborhood House. Papers. American Jewish Historical Society, Waltham, MA/New York, NY</w:t>
            </w:r>
          </w:p>
          <w:p w14:paraId="22EFC9F4" w14:textId="77777777" w:rsidR="0026412B" w:rsidRPr="00A650B1" w:rsidRDefault="0026412B" w:rsidP="00A650B1">
            <w:pPr>
              <w:rPr>
                <w:rFonts w:ascii="Georgia" w:hAnsi="Georgia"/>
                <w:sz w:val="28"/>
                <w:szCs w:val="28"/>
              </w:rPr>
            </w:pPr>
            <w:r w:rsidRPr="00A650B1">
              <w:rPr>
                <w:rFonts w:ascii="Georgia" w:hAnsi="Georgia"/>
                <w:sz w:val="28"/>
                <w:szCs w:val="28"/>
              </w:rPr>
              <w:t>Solomon, Barbara Miller. </w:t>
            </w:r>
            <w:r w:rsidRPr="00A650B1">
              <w:rPr>
                <w:rFonts w:ascii="Georgia" w:hAnsi="Georgia"/>
                <w:i/>
                <w:iCs/>
                <w:sz w:val="28"/>
                <w:szCs w:val="28"/>
              </w:rPr>
              <w:t>Pioneers in Service: The History of the Associated Jewish Philanthropies of Boston. </w:t>
            </w:r>
            <w:r w:rsidRPr="00A650B1">
              <w:rPr>
                <w:rFonts w:ascii="Georgia" w:hAnsi="Georgia"/>
                <w:sz w:val="28"/>
                <w:szCs w:val="28"/>
              </w:rPr>
              <w:t>Boston: Associated Jewish Philanthropies, 1956</w:t>
            </w:r>
          </w:p>
          <w:p w14:paraId="64234A9D" w14:textId="77777777" w:rsidR="0026412B" w:rsidRPr="0026412B" w:rsidRDefault="0026412B" w:rsidP="0026412B">
            <w:pPr>
              <w:pStyle w:val="ListParagraph"/>
              <w:rPr>
                <w:rFonts w:ascii="Georgia" w:hAnsi="Georgia"/>
                <w:sz w:val="28"/>
                <w:szCs w:val="28"/>
              </w:rPr>
            </w:pPr>
          </w:p>
          <w:p w14:paraId="29F4857D" w14:textId="77777777" w:rsidR="00167A4E" w:rsidRDefault="00167A4E" w:rsidP="00B87DC9">
            <w:pPr>
              <w:pStyle w:val="ListParagraph"/>
              <w:ind w:left="0"/>
              <w:rPr>
                <w:rFonts w:ascii="Georgia" w:hAnsi="Georgia"/>
                <w:sz w:val="28"/>
                <w:szCs w:val="28"/>
              </w:rPr>
            </w:pPr>
          </w:p>
        </w:tc>
      </w:tr>
    </w:tbl>
    <w:p w14:paraId="7D42A213" w14:textId="717CC07F" w:rsidR="00A86EB2" w:rsidRPr="008D1CA9" w:rsidRDefault="008D1CA9" w:rsidP="008D1CA9">
      <w:pPr>
        <w:ind w:left="720"/>
        <w:rPr>
          <w:rFonts w:ascii="Georgia" w:hAnsi="Georgia"/>
          <w:i/>
          <w:iCs/>
          <w:sz w:val="28"/>
          <w:szCs w:val="28"/>
        </w:rPr>
      </w:pPr>
      <w:r w:rsidRPr="008D1CA9">
        <w:rPr>
          <w:rFonts w:ascii="Georgia" w:hAnsi="Georgia"/>
          <w:i/>
          <w:iCs/>
          <w:sz w:val="28"/>
          <w:szCs w:val="28"/>
        </w:rPr>
        <w:lastRenderedPageBreak/>
        <w:t>What characterized Golde Bamber’s approach to integrating immigrants? Do you agree?</w:t>
      </w:r>
    </w:p>
    <w:p w14:paraId="7330AF29" w14:textId="23EF05EB" w:rsidR="008D1CA9" w:rsidRDefault="008D1CA9" w:rsidP="008D1CA9">
      <w:pPr>
        <w:ind w:left="720"/>
        <w:rPr>
          <w:rFonts w:ascii="Georgia" w:hAnsi="Georgia"/>
          <w:i/>
          <w:iCs/>
          <w:sz w:val="28"/>
          <w:szCs w:val="28"/>
        </w:rPr>
      </w:pPr>
      <w:r w:rsidRPr="008D1CA9">
        <w:rPr>
          <w:rFonts w:ascii="Georgia" w:hAnsi="Georgia"/>
          <w:i/>
          <w:iCs/>
          <w:sz w:val="28"/>
          <w:szCs w:val="28"/>
        </w:rPr>
        <w:t>Where do you see the legacy of her work today?</w:t>
      </w:r>
    </w:p>
    <w:p w14:paraId="5483D555" w14:textId="77777777" w:rsidR="00155CAF" w:rsidRDefault="00155CAF" w:rsidP="008D1CA9">
      <w:pPr>
        <w:ind w:left="720"/>
        <w:rPr>
          <w:rFonts w:ascii="Georgia" w:hAnsi="Georgia"/>
          <w:i/>
          <w:iCs/>
          <w:sz w:val="28"/>
          <w:szCs w:val="28"/>
        </w:rPr>
      </w:pPr>
    </w:p>
    <w:p w14:paraId="5E40F410" w14:textId="77777777" w:rsidR="00155CAF" w:rsidRDefault="00155CAF" w:rsidP="008D1CA9">
      <w:pPr>
        <w:ind w:left="720"/>
        <w:rPr>
          <w:rFonts w:ascii="Georgia" w:hAnsi="Georgia"/>
          <w:i/>
          <w:iCs/>
          <w:sz w:val="28"/>
          <w:szCs w:val="28"/>
        </w:rPr>
      </w:pPr>
    </w:p>
    <w:p w14:paraId="33921653" w14:textId="77777777" w:rsidR="00155CAF" w:rsidRDefault="00155CAF" w:rsidP="008D1CA9">
      <w:pPr>
        <w:ind w:left="720"/>
        <w:rPr>
          <w:rFonts w:ascii="Georgia" w:hAnsi="Georgia"/>
          <w:i/>
          <w:iCs/>
          <w:sz w:val="28"/>
          <w:szCs w:val="28"/>
        </w:rPr>
      </w:pPr>
    </w:p>
    <w:p w14:paraId="74F33AE9" w14:textId="77777777" w:rsidR="00155CAF" w:rsidRDefault="00155CAF" w:rsidP="008D1CA9">
      <w:pPr>
        <w:ind w:left="720"/>
        <w:rPr>
          <w:rFonts w:ascii="Georgia" w:hAnsi="Georgia"/>
          <w:i/>
          <w:iCs/>
          <w:sz w:val="28"/>
          <w:szCs w:val="28"/>
        </w:rPr>
      </w:pPr>
    </w:p>
    <w:p w14:paraId="658FA184" w14:textId="5509EC52" w:rsidR="00216350" w:rsidRPr="00B04883" w:rsidRDefault="00216350" w:rsidP="00B04883">
      <w:pPr>
        <w:pStyle w:val="ListParagraph"/>
        <w:numPr>
          <w:ilvl w:val="0"/>
          <w:numId w:val="1"/>
        </w:numPr>
        <w:rPr>
          <w:rFonts w:ascii="Georgia" w:hAnsi="Georgia"/>
          <w:sz w:val="28"/>
          <w:szCs w:val="28"/>
        </w:rPr>
      </w:pPr>
      <w:r w:rsidRPr="00B04883">
        <w:rPr>
          <w:rFonts w:ascii="Georgia" w:hAnsi="Georgia"/>
          <w:sz w:val="28"/>
          <w:szCs w:val="28"/>
        </w:rPr>
        <w:lastRenderedPageBreak/>
        <w:t xml:space="preserve">American Jewish </w:t>
      </w:r>
      <w:proofErr w:type="gramStart"/>
      <w:r w:rsidRPr="00B04883">
        <w:rPr>
          <w:rFonts w:ascii="Georgia" w:hAnsi="Georgia"/>
          <w:sz w:val="28"/>
          <w:szCs w:val="28"/>
        </w:rPr>
        <w:t>Year Book</w:t>
      </w:r>
      <w:proofErr w:type="gramEnd"/>
      <w:r w:rsidRPr="00B04883">
        <w:rPr>
          <w:rFonts w:ascii="Georgia" w:hAnsi="Georgia"/>
          <w:sz w:val="28"/>
          <w:szCs w:val="28"/>
        </w:rPr>
        <w:t>, 5664-5665 (</w:t>
      </w:r>
      <w:r w:rsidR="00066873" w:rsidRPr="00B04883">
        <w:rPr>
          <w:rFonts w:ascii="Georgia" w:hAnsi="Georgia"/>
          <w:sz w:val="28"/>
          <w:szCs w:val="28"/>
        </w:rPr>
        <w:t>1904-1905)</w:t>
      </w:r>
      <w:r w:rsidR="004A49C8">
        <w:rPr>
          <w:rStyle w:val="FootnoteReference"/>
          <w:rFonts w:ascii="Georgia" w:hAnsi="Georgia"/>
          <w:sz w:val="28"/>
          <w:szCs w:val="28"/>
        </w:rPr>
        <w:footnoteReference w:id="2"/>
      </w:r>
    </w:p>
    <w:tbl>
      <w:tblPr>
        <w:tblStyle w:val="TableGrid"/>
        <w:tblW w:w="0" w:type="auto"/>
        <w:tblLook w:val="04A0" w:firstRow="1" w:lastRow="0" w:firstColumn="1" w:lastColumn="0" w:noHBand="0" w:noVBand="1"/>
      </w:tblPr>
      <w:tblGrid>
        <w:gridCol w:w="9350"/>
      </w:tblGrid>
      <w:tr w:rsidR="00066873" w14:paraId="288A9F7A" w14:textId="77777777" w:rsidTr="00066873">
        <w:tc>
          <w:tcPr>
            <w:tcW w:w="9350" w:type="dxa"/>
          </w:tcPr>
          <w:p w14:paraId="122B92BD" w14:textId="303D6EB3" w:rsidR="00066873" w:rsidRDefault="00066873" w:rsidP="002657CD">
            <w:pPr>
              <w:rPr>
                <w:rFonts w:ascii="Georgia" w:hAnsi="Georgia"/>
                <w:sz w:val="28"/>
                <w:szCs w:val="28"/>
              </w:rPr>
            </w:pPr>
            <w:r w:rsidRPr="00066873">
              <w:rPr>
                <w:rFonts w:ascii="Georgia" w:hAnsi="Georgia"/>
                <w:sz w:val="28"/>
                <w:szCs w:val="28"/>
              </w:rPr>
              <w:t xml:space="preserve">Bamber, Golde. Superintendent Hebrew Industrial School of Boston. </w:t>
            </w:r>
          </w:p>
          <w:p w14:paraId="701E7AE1" w14:textId="77777777" w:rsidR="00066873" w:rsidRDefault="00066873" w:rsidP="002657CD">
            <w:pPr>
              <w:rPr>
                <w:rFonts w:ascii="Georgia" w:hAnsi="Georgia"/>
                <w:sz w:val="28"/>
                <w:szCs w:val="28"/>
              </w:rPr>
            </w:pPr>
          </w:p>
          <w:p w14:paraId="6FABAFF8" w14:textId="4A46E6ED" w:rsidR="00066873" w:rsidRDefault="00066873" w:rsidP="002657CD">
            <w:pPr>
              <w:rPr>
                <w:rFonts w:ascii="Georgia" w:hAnsi="Georgia"/>
                <w:sz w:val="28"/>
                <w:szCs w:val="28"/>
              </w:rPr>
            </w:pPr>
            <w:r w:rsidRPr="00066873">
              <w:rPr>
                <w:rFonts w:ascii="Georgia" w:hAnsi="Georgia"/>
                <w:sz w:val="28"/>
                <w:szCs w:val="28"/>
              </w:rPr>
              <w:t xml:space="preserve">Born January 5, 1869, Boston, Mass. Daughter of Asher Bamber and Rosetta Stein. </w:t>
            </w:r>
            <w:proofErr w:type="gramStart"/>
            <w:r w:rsidRPr="00066873">
              <w:rPr>
                <w:rFonts w:ascii="Georgia" w:hAnsi="Georgia"/>
                <w:sz w:val="28"/>
                <w:szCs w:val="28"/>
              </w:rPr>
              <w:t>Educated</w:t>
            </w:r>
            <w:proofErr w:type="gramEnd"/>
            <w:r w:rsidRPr="00066873">
              <w:rPr>
                <w:rFonts w:ascii="Georgia" w:hAnsi="Georgia"/>
                <w:sz w:val="28"/>
                <w:szCs w:val="28"/>
              </w:rPr>
              <w:t xml:space="preserve"> in Waltham public and Boston private </w:t>
            </w:r>
            <w:proofErr w:type="gramStart"/>
            <w:r w:rsidRPr="00066873">
              <w:rPr>
                <w:rFonts w:ascii="Georgia" w:hAnsi="Georgia"/>
                <w:sz w:val="28"/>
                <w:szCs w:val="28"/>
              </w:rPr>
              <w:t>schools;</w:t>
            </w:r>
            <w:proofErr w:type="gramEnd"/>
            <w:r w:rsidRPr="00066873">
              <w:rPr>
                <w:rFonts w:ascii="Georgia" w:hAnsi="Georgia"/>
                <w:sz w:val="28"/>
                <w:szCs w:val="28"/>
              </w:rPr>
              <w:t xml:space="preserve"> and Boston University School of Oratory. Director Hebrew Women's Sewing Society; member Advisory Board, Boston Trade School for Girls, and Organization Committee, North and West End Social Union. </w:t>
            </w:r>
            <w:proofErr w:type="gramStart"/>
            <w:r w:rsidRPr="00066873">
              <w:rPr>
                <w:rFonts w:ascii="Georgia" w:hAnsi="Georgia"/>
                <w:sz w:val="28"/>
                <w:szCs w:val="28"/>
              </w:rPr>
              <w:t>Was</w:t>
            </w:r>
            <w:proofErr w:type="gramEnd"/>
            <w:r w:rsidRPr="00066873">
              <w:rPr>
                <w:rFonts w:ascii="Georgia" w:hAnsi="Georgia"/>
                <w:sz w:val="28"/>
                <w:szCs w:val="28"/>
              </w:rPr>
              <w:t xml:space="preserve"> special </w:t>
            </w:r>
            <w:proofErr w:type="gramStart"/>
            <w:r w:rsidRPr="00066873">
              <w:rPr>
                <w:rFonts w:ascii="Georgia" w:hAnsi="Georgia"/>
                <w:sz w:val="28"/>
                <w:szCs w:val="28"/>
              </w:rPr>
              <w:t>teacher</w:t>
            </w:r>
            <w:proofErr w:type="gramEnd"/>
            <w:r w:rsidRPr="00066873">
              <w:rPr>
                <w:rFonts w:ascii="Georgia" w:hAnsi="Georgia"/>
                <w:sz w:val="28"/>
                <w:szCs w:val="28"/>
              </w:rPr>
              <w:t xml:space="preserve"> of physical culture and oratory to grammar and high school teachers, and to pupils of graduating classes, Waltham public schools. Founder of Ways and Means Club, and of Young Women's Union for Philanthropic Endeavor. Delegate to World's Fair Congress of Religions at Chicago. Went to Europe in 1894 to study educational and industrial phases of life. </w:t>
            </w:r>
            <w:proofErr w:type="gramStart"/>
            <w:r w:rsidRPr="00066873">
              <w:rPr>
                <w:rFonts w:ascii="Georgia" w:hAnsi="Georgia"/>
                <w:sz w:val="28"/>
                <w:szCs w:val="28"/>
              </w:rPr>
              <w:t>Has</w:t>
            </w:r>
            <w:proofErr w:type="gramEnd"/>
            <w:r w:rsidRPr="00066873">
              <w:rPr>
                <w:rFonts w:ascii="Georgia" w:hAnsi="Georgia"/>
                <w:sz w:val="28"/>
                <w:szCs w:val="28"/>
              </w:rPr>
              <w:t xml:space="preserve"> written magazine articles </w:t>
            </w:r>
            <w:r w:rsidR="00A71FA1">
              <w:rPr>
                <w:rFonts w:ascii="Georgia" w:hAnsi="Georgia"/>
                <w:sz w:val="28"/>
                <w:szCs w:val="28"/>
              </w:rPr>
              <w:t>and</w:t>
            </w:r>
            <w:r w:rsidR="00A71FA1" w:rsidRPr="00A71FA1">
              <w:rPr>
                <w:rFonts w:ascii="Georgia" w:hAnsi="Georgia"/>
                <w:sz w:val="28"/>
                <w:szCs w:val="28"/>
              </w:rPr>
              <w:t xml:space="preserve"> educational papers. Address: 68 </w:t>
            </w:r>
            <w:proofErr w:type="spellStart"/>
            <w:r w:rsidR="00A71FA1" w:rsidRPr="00A71FA1">
              <w:rPr>
                <w:rFonts w:ascii="Georgia" w:hAnsi="Georgia"/>
                <w:sz w:val="28"/>
                <w:szCs w:val="28"/>
              </w:rPr>
              <w:t>Waumbeck</w:t>
            </w:r>
            <w:proofErr w:type="spellEnd"/>
            <w:r w:rsidR="00A71FA1" w:rsidRPr="00A71FA1">
              <w:rPr>
                <w:rFonts w:ascii="Georgia" w:hAnsi="Georgia"/>
                <w:sz w:val="28"/>
                <w:szCs w:val="28"/>
              </w:rPr>
              <w:t>, Boston, Mass.</w:t>
            </w:r>
          </w:p>
        </w:tc>
      </w:tr>
    </w:tbl>
    <w:p w14:paraId="603C36D4" w14:textId="77777777" w:rsidR="00762424" w:rsidRDefault="00762424" w:rsidP="002657CD">
      <w:pPr>
        <w:rPr>
          <w:rFonts w:ascii="Georgia" w:hAnsi="Georgia"/>
          <w:sz w:val="28"/>
          <w:szCs w:val="28"/>
        </w:rPr>
      </w:pPr>
    </w:p>
    <w:p w14:paraId="6AF22193" w14:textId="77777777" w:rsidR="00762424" w:rsidRDefault="00762424" w:rsidP="002657CD">
      <w:pPr>
        <w:rPr>
          <w:rFonts w:ascii="Georgia" w:hAnsi="Georgia"/>
          <w:sz w:val="28"/>
          <w:szCs w:val="28"/>
        </w:rPr>
      </w:pPr>
    </w:p>
    <w:p w14:paraId="5430531A" w14:textId="77777777" w:rsidR="001D6A55" w:rsidRDefault="001D6A55" w:rsidP="002657CD">
      <w:pPr>
        <w:rPr>
          <w:rFonts w:ascii="Georgia" w:hAnsi="Georgia"/>
          <w:sz w:val="28"/>
          <w:szCs w:val="28"/>
        </w:rPr>
      </w:pPr>
    </w:p>
    <w:p w14:paraId="231DD4E8" w14:textId="77777777" w:rsidR="001D6A55" w:rsidRDefault="001D6A55" w:rsidP="002657CD">
      <w:pPr>
        <w:rPr>
          <w:rFonts w:ascii="Georgia" w:hAnsi="Georgia"/>
          <w:sz w:val="28"/>
          <w:szCs w:val="28"/>
        </w:rPr>
      </w:pPr>
    </w:p>
    <w:p w14:paraId="4CDBDDCF" w14:textId="77777777" w:rsidR="001D6A55" w:rsidRDefault="001D6A55" w:rsidP="002657CD">
      <w:pPr>
        <w:rPr>
          <w:rFonts w:ascii="Georgia" w:hAnsi="Georgia"/>
          <w:sz w:val="28"/>
          <w:szCs w:val="28"/>
        </w:rPr>
      </w:pPr>
    </w:p>
    <w:p w14:paraId="0C65E7D9" w14:textId="77777777" w:rsidR="001D6A55" w:rsidRDefault="001D6A55" w:rsidP="002657CD">
      <w:pPr>
        <w:rPr>
          <w:rFonts w:ascii="Georgia" w:hAnsi="Georgia"/>
          <w:sz w:val="28"/>
          <w:szCs w:val="28"/>
        </w:rPr>
      </w:pPr>
    </w:p>
    <w:p w14:paraId="042F1F2C" w14:textId="77777777" w:rsidR="001D6A55" w:rsidRDefault="001D6A55" w:rsidP="002657CD">
      <w:pPr>
        <w:rPr>
          <w:rFonts w:ascii="Georgia" w:hAnsi="Georgia"/>
          <w:sz w:val="28"/>
          <w:szCs w:val="28"/>
        </w:rPr>
      </w:pPr>
    </w:p>
    <w:p w14:paraId="0386A6A3" w14:textId="77777777" w:rsidR="001D6A55" w:rsidRDefault="001D6A55" w:rsidP="002657CD">
      <w:pPr>
        <w:rPr>
          <w:rFonts w:ascii="Georgia" w:hAnsi="Georgia"/>
          <w:sz w:val="28"/>
          <w:szCs w:val="28"/>
        </w:rPr>
      </w:pPr>
    </w:p>
    <w:p w14:paraId="005FBCD9" w14:textId="77777777" w:rsidR="001D6A55" w:rsidRDefault="001D6A55" w:rsidP="002657CD">
      <w:pPr>
        <w:rPr>
          <w:rFonts w:ascii="Georgia" w:hAnsi="Georgia"/>
          <w:sz w:val="28"/>
          <w:szCs w:val="28"/>
        </w:rPr>
      </w:pPr>
    </w:p>
    <w:p w14:paraId="6FC3A5BD" w14:textId="77777777" w:rsidR="001D6A55" w:rsidRDefault="001D6A55" w:rsidP="002657CD">
      <w:pPr>
        <w:rPr>
          <w:rFonts w:ascii="Georgia" w:hAnsi="Georgia"/>
          <w:sz w:val="28"/>
          <w:szCs w:val="28"/>
        </w:rPr>
      </w:pPr>
    </w:p>
    <w:p w14:paraId="654C23BE" w14:textId="77777777" w:rsidR="001D6A55" w:rsidRDefault="001D6A55" w:rsidP="002657CD">
      <w:pPr>
        <w:rPr>
          <w:rFonts w:ascii="Georgia" w:hAnsi="Georgia"/>
          <w:sz w:val="28"/>
          <w:szCs w:val="28"/>
        </w:rPr>
      </w:pPr>
    </w:p>
    <w:p w14:paraId="771513CA" w14:textId="77777777" w:rsidR="001D6A55" w:rsidRDefault="001D6A55" w:rsidP="002657CD">
      <w:pPr>
        <w:rPr>
          <w:rFonts w:ascii="Georgia" w:hAnsi="Georgia"/>
          <w:sz w:val="28"/>
          <w:szCs w:val="28"/>
        </w:rPr>
      </w:pPr>
    </w:p>
    <w:p w14:paraId="21CBE6E5" w14:textId="77777777" w:rsidR="001D6A55" w:rsidRDefault="001D6A55" w:rsidP="002657CD">
      <w:pPr>
        <w:rPr>
          <w:rFonts w:ascii="Georgia" w:hAnsi="Georgia"/>
          <w:sz w:val="28"/>
          <w:szCs w:val="28"/>
        </w:rPr>
      </w:pPr>
    </w:p>
    <w:p w14:paraId="31195367" w14:textId="77777777" w:rsidR="004C792E" w:rsidRDefault="004C792E" w:rsidP="002657CD">
      <w:pPr>
        <w:rPr>
          <w:rFonts w:ascii="Georgia" w:hAnsi="Georgia"/>
          <w:sz w:val="28"/>
          <w:szCs w:val="28"/>
        </w:rPr>
      </w:pPr>
    </w:p>
    <w:p w14:paraId="4E4769E1" w14:textId="43766BFB" w:rsidR="001D6A55" w:rsidRDefault="0083361D" w:rsidP="002657CD">
      <w:pPr>
        <w:rPr>
          <w:rFonts w:ascii="Georgia" w:hAnsi="Georgia"/>
          <w:sz w:val="28"/>
          <w:szCs w:val="28"/>
        </w:rPr>
      </w:pPr>
      <w:r w:rsidRPr="0083361D">
        <w:rPr>
          <w:rFonts w:ascii="Georgia" w:hAnsi="Georgia"/>
          <w:i/>
          <w:iCs/>
          <w:sz w:val="28"/>
          <w:szCs w:val="28"/>
        </w:rPr>
        <w:lastRenderedPageBreak/>
        <w:t>The Jews of Boston</w:t>
      </w:r>
      <w:r>
        <w:rPr>
          <w:rFonts w:ascii="Georgia" w:hAnsi="Georgia"/>
          <w:sz w:val="28"/>
          <w:szCs w:val="28"/>
        </w:rPr>
        <w:t>, p. 226</w:t>
      </w:r>
    </w:p>
    <w:p w14:paraId="6838D3CF" w14:textId="77777777" w:rsidR="001D6A55" w:rsidRDefault="001D6A55" w:rsidP="002657CD">
      <w:pPr>
        <w:rPr>
          <w:rFonts w:ascii="Georgia" w:hAnsi="Georgia"/>
          <w:sz w:val="28"/>
          <w:szCs w:val="28"/>
        </w:rPr>
      </w:pPr>
    </w:p>
    <w:p w14:paraId="35C7396A" w14:textId="06120C8E" w:rsidR="001D6A55" w:rsidRDefault="001D6A55" w:rsidP="002657CD">
      <w:pPr>
        <w:rPr>
          <w:rFonts w:ascii="Georgia" w:hAnsi="Georgia"/>
          <w:sz w:val="28"/>
          <w:szCs w:val="28"/>
        </w:rPr>
      </w:pPr>
    </w:p>
    <w:p w14:paraId="0B277536" w14:textId="7D7845D3" w:rsidR="001D6A55" w:rsidRDefault="004C792E" w:rsidP="002657CD">
      <w:pPr>
        <w:rPr>
          <w:rFonts w:ascii="Georgia" w:hAnsi="Georgia"/>
          <w:sz w:val="28"/>
          <w:szCs w:val="28"/>
        </w:rPr>
      </w:pPr>
      <w:r>
        <w:rPr>
          <w:rFonts w:ascii="Georgia" w:hAnsi="Georgia"/>
          <w:i/>
          <w:iCs/>
          <w:noProof/>
          <w:sz w:val="28"/>
          <w:szCs w:val="28"/>
        </w:rPr>
        <w:drawing>
          <wp:anchor distT="0" distB="0" distL="114300" distR="114300" simplePos="0" relativeHeight="251663360" behindDoc="0" locked="0" layoutInCell="1" allowOverlap="1" wp14:anchorId="647572E6" wp14:editId="63449595">
            <wp:simplePos x="0" y="0"/>
            <wp:positionH relativeFrom="margin">
              <wp:align>left</wp:align>
            </wp:positionH>
            <wp:positionV relativeFrom="paragraph">
              <wp:posOffset>252202</wp:posOffset>
            </wp:positionV>
            <wp:extent cx="8002655" cy="6002198"/>
            <wp:effectExtent l="0" t="9525" r="8255" b="8255"/>
            <wp:wrapNone/>
            <wp:docPr id="54810025" name="Picture 5" descr="Several paper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0025" name="Picture 5" descr="Several papers on a white surfa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002655" cy="6002198"/>
                    </a:xfrm>
                    <a:prstGeom prst="rect">
                      <a:avLst/>
                    </a:prstGeom>
                  </pic:spPr>
                </pic:pic>
              </a:graphicData>
            </a:graphic>
            <wp14:sizeRelH relativeFrom="page">
              <wp14:pctWidth>0</wp14:pctWidth>
            </wp14:sizeRelH>
            <wp14:sizeRelV relativeFrom="page">
              <wp14:pctHeight>0</wp14:pctHeight>
            </wp14:sizeRelV>
          </wp:anchor>
        </w:drawing>
      </w:r>
    </w:p>
    <w:p w14:paraId="3497F7DA" w14:textId="7E8CBCF0" w:rsidR="001D6A55" w:rsidRDefault="001D6A55" w:rsidP="002657CD">
      <w:pPr>
        <w:rPr>
          <w:rFonts w:ascii="Georgia" w:hAnsi="Georgia"/>
          <w:sz w:val="28"/>
          <w:szCs w:val="28"/>
        </w:rPr>
      </w:pPr>
    </w:p>
    <w:p w14:paraId="7F132CB1" w14:textId="19A914C7" w:rsidR="001D6A55" w:rsidRDefault="001D6A55" w:rsidP="002657CD">
      <w:pPr>
        <w:rPr>
          <w:rFonts w:ascii="Georgia" w:hAnsi="Georgia"/>
          <w:sz w:val="28"/>
          <w:szCs w:val="28"/>
        </w:rPr>
      </w:pPr>
    </w:p>
    <w:p w14:paraId="180EBEDB" w14:textId="670AC6EC" w:rsidR="001D6A55" w:rsidRDefault="001D6A55" w:rsidP="002657CD">
      <w:pPr>
        <w:rPr>
          <w:rFonts w:ascii="Georgia" w:hAnsi="Georgia"/>
          <w:sz w:val="28"/>
          <w:szCs w:val="28"/>
        </w:rPr>
      </w:pPr>
    </w:p>
    <w:p w14:paraId="4795A2C1" w14:textId="0469EC7D" w:rsidR="001D6A55" w:rsidRDefault="001D6A55" w:rsidP="002657CD">
      <w:pPr>
        <w:rPr>
          <w:rFonts w:ascii="Georgia" w:hAnsi="Georgia"/>
          <w:sz w:val="28"/>
          <w:szCs w:val="28"/>
        </w:rPr>
      </w:pPr>
    </w:p>
    <w:p w14:paraId="3A38E837" w14:textId="46AF6351" w:rsidR="001D6A55" w:rsidRDefault="001D6A55" w:rsidP="002657CD">
      <w:pPr>
        <w:rPr>
          <w:rFonts w:ascii="Georgia" w:hAnsi="Georgia"/>
          <w:sz w:val="28"/>
          <w:szCs w:val="28"/>
        </w:rPr>
      </w:pPr>
    </w:p>
    <w:p w14:paraId="642A78FC" w14:textId="6FDE3714" w:rsidR="001D6A55" w:rsidRDefault="001D6A55" w:rsidP="002657CD">
      <w:pPr>
        <w:rPr>
          <w:rFonts w:ascii="Georgia" w:hAnsi="Georgia"/>
          <w:sz w:val="28"/>
          <w:szCs w:val="28"/>
        </w:rPr>
      </w:pPr>
    </w:p>
    <w:p w14:paraId="0D5D07D9" w14:textId="694F7C8B" w:rsidR="001D6A55" w:rsidRDefault="001D6A55" w:rsidP="002657CD">
      <w:pPr>
        <w:rPr>
          <w:rFonts w:ascii="Georgia" w:hAnsi="Georgia"/>
          <w:sz w:val="28"/>
          <w:szCs w:val="28"/>
        </w:rPr>
      </w:pPr>
    </w:p>
    <w:p w14:paraId="1705941F" w14:textId="6D4D4D69" w:rsidR="001D6A55" w:rsidRDefault="001D6A55" w:rsidP="002657CD">
      <w:pPr>
        <w:rPr>
          <w:rFonts w:ascii="Georgia" w:hAnsi="Georgia"/>
          <w:sz w:val="28"/>
          <w:szCs w:val="28"/>
        </w:rPr>
      </w:pPr>
    </w:p>
    <w:p w14:paraId="24DD05C9" w14:textId="77777777" w:rsidR="001D6A55" w:rsidRDefault="001D6A55" w:rsidP="002657CD">
      <w:pPr>
        <w:rPr>
          <w:rFonts w:ascii="Georgia" w:hAnsi="Georgia"/>
          <w:sz w:val="28"/>
          <w:szCs w:val="28"/>
        </w:rPr>
      </w:pPr>
    </w:p>
    <w:p w14:paraId="77879FB0" w14:textId="00BCB050" w:rsidR="00066873" w:rsidRPr="002657CD" w:rsidRDefault="00066873" w:rsidP="002657CD">
      <w:pPr>
        <w:rPr>
          <w:rFonts w:ascii="Georgia" w:hAnsi="Georgia"/>
          <w:sz w:val="28"/>
          <w:szCs w:val="28"/>
        </w:rPr>
      </w:pPr>
    </w:p>
    <w:sectPr w:rsidR="00066873" w:rsidRPr="002657C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8EF0A" w14:textId="77777777" w:rsidR="001D4926" w:rsidRDefault="001D4926" w:rsidP="001D4926">
      <w:pPr>
        <w:spacing w:after="0" w:line="240" w:lineRule="auto"/>
      </w:pPr>
      <w:r>
        <w:separator/>
      </w:r>
    </w:p>
  </w:endnote>
  <w:endnote w:type="continuationSeparator" w:id="0">
    <w:p w14:paraId="3DC4DC6F" w14:textId="77777777" w:rsidR="001D4926" w:rsidRDefault="001D4926" w:rsidP="001D4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5820669"/>
      <w:docPartObj>
        <w:docPartGallery w:val="Page Numbers (Bottom of Page)"/>
        <w:docPartUnique/>
      </w:docPartObj>
    </w:sdtPr>
    <w:sdtEndPr>
      <w:rPr>
        <w:noProof/>
      </w:rPr>
    </w:sdtEndPr>
    <w:sdtContent>
      <w:p w14:paraId="2A858872" w14:textId="560C51A8" w:rsidR="005607AA" w:rsidRDefault="005607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4A250" w14:textId="77777777" w:rsidR="005607AA" w:rsidRDefault="00560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CE839" w14:textId="77777777" w:rsidR="001D4926" w:rsidRDefault="001D4926" w:rsidP="001D4926">
      <w:pPr>
        <w:spacing w:after="0" w:line="240" w:lineRule="auto"/>
      </w:pPr>
      <w:r>
        <w:separator/>
      </w:r>
    </w:p>
  </w:footnote>
  <w:footnote w:type="continuationSeparator" w:id="0">
    <w:p w14:paraId="5F21C4D7" w14:textId="77777777" w:rsidR="001D4926" w:rsidRDefault="001D4926" w:rsidP="001D4926">
      <w:pPr>
        <w:spacing w:after="0" w:line="240" w:lineRule="auto"/>
      </w:pPr>
      <w:r>
        <w:continuationSeparator/>
      </w:r>
    </w:p>
  </w:footnote>
  <w:footnote w:id="1">
    <w:p w14:paraId="26EA0FC8" w14:textId="7A8C9853" w:rsidR="001D4926" w:rsidRPr="001D4926" w:rsidRDefault="001D4926" w:rsidP="001D4926">
      <w:pPr>
        <w:pStyle w:val="FootnoteText"/>
      </w:pPr>
      <w:r>
        <w:rPr>
          <w:rStyle w:val="FootnoteReference"/>
        </w:rPr>
        <w:footnoteRef/>
      </w:r>
      <w:r>
        <w:t xml:space="preserve"> </w:t>
      </w:r>
      <w:hyperlink r:id="rId1" w:history="1">
        <w:r w:rsidRPr="00FC1DFF">
          <w:rPr>
            <w:rStyle w:val="Hyperlink"/>
          </w:rPr>
          <w:t>https://jwa.org/encyclopedia/article/bamber-golde</w:t>
        </w:r>
      </w:hyperlink>
      <w:r>
        <w:t xml:space="preserve"> </w:t>
      </w:r>
    </w:p>
    <w:p w14:paraId="51CA2CBF" w14:textId="3D89218F" w:rsidR="001D4926" w:rsidRDefault="001D4926">
      <w:pPr>
        <w:pStyle w:val="FootnoteText"/>
      </w:pPr>
      <w:r>
        <w:t xml:space="preserve"> </w:t>
      </w:r>
    </w:p>
  </w:footnote>
  <w:footnote w:id="2">
    <w:p w14:paraId="78BBDF7A" w14:textId="690BCA27" w:rsidR="004A49C8" w:rsidRDefault="004A49C8">
      <w:pPr>
        <w:pStyle w:val="FootnoteText"/>
      </w:pPr>
      <w:r>
        <w:rPr>
          <w:rStyle w:val="FootnoteReference"/>
        </w:rPr>
        <w:footnoteRef/>
      </w:r>
      <w:r>
        <w:t xml:space="preserve"> </w:t>
      </w:r>
      <w:hyperlink r:id="rId2" w:history="1">
        <w:r w:rsidRPr="00FC1DFF">
          <w:rPr>
            <w:rStyle w:val="Hyperlink"/>
          </w:rPr>
          <w:t>https://www.bjpa.org/content/upload/bjpa/7com/7communal.pdf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CE26FB"/>
    <w:multiLevelType w:val="hybridMultilevel"/>
    <w:tmpl w:val="8C286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715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94B"/>
    <w:rsid w:val="00066873"/>
    <w:rsid w:val="00155CAF"/>
    <w:rsid w:val="00167A4E"/>
    <w:rsid w:val="001B1652"/>
    <w:rsid w:val="001D4926"/>
    <w:rsid w:val="001D6A55"/>
    <w:rsid w:val="002117B8"/>
    <w:rsid w:val="00216350"/>
    <w:rsid w:val="00244507"/>
    <w:rsid w:val="0026412B"/>
    <w:rsid w:val="002657CD"/>
    <w:rsid w:val="003202A7"/>
    <w:rsid w:val="003726FE"/>
    <w:rsid w:val="004A49C8"/>
    <w:rsid w:val="004C792E"/>
    <w:rsid w:val="005245D8"/>
    <w:rsid w:val="00526D6A"/>
    <w:rsid w:val="005607AA"/>
    <w:rsid w:val="005727BD"/>
    <w:rsid w:val="00584E9F"/>
    <w:rsid w:val="005875DD"/>
    <w:rsid w:val="005A7C3A"/>
    <w:rsid w:val="00697A2C"/>
    <w:rsid w:val="0075094B"/>
    <w:rsid w:val="00762424"/>
    <w:rsid w:val="007A2771"/>
    <w:rsid w:val="0083361D"/>
    <w:rsid w:val="00891842"/>
    <w:rsid w:val="008D1CA9"/>
    <w:rsid w:val="008D350F"/>
    <w:rsid w:val="009E37D5"/>
    <w:rsid w:val="00A650B1"/>
    <w:rsid w:val="00A71FA1"/>
    <w:rsid w:val="00A86EB2"/>
    <w:rsid w:val="00AD15CC"/>
    <w:rsid w:val="00B04883"/>
    <w:rsid w:val="00B426D9"/>
    <w:rsid w:val="00B87DC9"/>
    <w:rsid w:val="00C6117A"/>
    <w:rsid w:val="00CF2BE7"/>
    <w:rsid w:val="00E040E7"/>
    <w:rsid w:val="00E05605"/>
    <w:rsid w:val="00E67A09"/>
    <w:rsid w:val="00ED00EC"/>
    <w:rsid w:val="00F13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Straight Arrow Connector 2"/>
        <o:r id="V:Rule2" type="connector" idref="#Straight Arrow Connector 2"/>
      </o:rules>
    </o:shapelayout>
  </w:shapeDefaults>
  <w:decimalSymbol w:val="."/>
  <w:listSeparator w:val=","/>
  <w14:docId w14:val="502CB7CC"/>
  <w15:chartTrackingRefBased/>
  <w15:docId w15:val="{39838B55-ADF8-47E7-B02B-89459AA4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9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09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09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09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09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09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09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09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09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9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09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09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09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09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09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09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09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094B"/>
    <w:rPr>
      <w:rFonts w:eastAsiaTheme="majorEastAsia" w:cstheme="majorBidi"/>
      <w:color w:val="272727" w:themeColor="text1" w:themeTint="D8"/>
    </w:rPr>
  </w:style>
  <w:style w:type="paragraph" w:styleId="Title">
    <w:name w:val="Title"/>
    <w:basedOn w:val="Normal"/>
    <w:next w:val="Normal"/>
    <w:link w:val="TitleChar"/>
    <w:uiPriority w:val="10"/>
    <w:qFormat/>
    <w:rsid w:val="007509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9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09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09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094B"/>
    <w:pPr>
      <w:spacing w:before="160"/>
      <w:jc w:val="center"/>
    </w:pPr>
    <w:rPr>
      <w:i/>
      <w:iCs/>
      <w:color w:val="404040" w:themeColor="text1" w:themeTint="BF"/>
    </w:rPr>
  </w:style>
  <w:style w:type="character" w:customStyle="1" w:styleId="QuoteChar">
    <w:name w:val="Quote Char"/>
    <w:basedOn w:val="DefaultParagraphFont"/>
    <w:link w:val="Quote"/>
    <w:uiPriority w:val="29"/>
    <w:rsid w:val="0075094B"/>
    <w:rPr>
      <w:i/>
      <w:iCs/>
      <w:color w:val="404040" w:themeColor="text1" w:themeTint="BF"/>
    </w:rPr>
  </w:style>
  <w:style w:type="paragraph" w:styleId="ListParagraph">
    <w:name w:val="List Paragraph"/>
    <w:basedOn w:val="Normal"/>
    <w:uiPriority w:val="34"/>
    <w:qFormat/>
    <w:rsid w:val="0075094B"/>
    <w:pPr>
      <w:ind w:left="720"/>
      <w:contextualSpacing/>
    </w:pPr>
  </w:style>
  <w:style w:type="character" w:styleId="IntenseEmphasis">
    <w:name w:val="Intense Emphasis"/>
    <w:basedOn w:val="DefaultParagraphFont"/>
    <w:uiPriority w:val="21"/>
    <w:qFormat/>
    <w:rsid w:val="0075094B"/>
    <w:rPr>
      <w:i/>
      <w:iCs/>
      <w:color w:val="0F4761" w:themeColor="accent1" w:themeShade="BF"/>
    </w:rPr>
  </w:style>
  <w:style w:type="paragraph" w:styleId="IntenseQuote">
    <w:name w:val="Intense Quote"/>
    <w:basedOn w:val="Normal"/>
    <w:next w:val="Normal"/>
    <w:link w:val="IntenseQuoteChar"/>
    <w:uiPriority w:val="30"/>
    <w:qFormat/>
    <w:rsid w:val="007509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094B"/>
    <w:rPr>
      <w:i/>
      <w:iCs/>
      <w:color w:val="0F4761" w:themeColor="accent1" w:themeShade="BF"/>
    </w:rPr>
  </w:style>
  <w:style w:type="character" w:styleId="IntenseReference">
    <w:name w:val="Intense Reference"/>
    <w:basedOn w:val="DefaultParagraphFont"/>
    <w:uiPriority w:val="32"/>
    <w:qFormat/>
    <w:rsid w:val="0075094B"/>
    <w:rPr>
      <w:b/>
      <w:bCs/>
      <w:smallCaps/>
      <w:color w:val="0F4761" w:themeColor="accent1" w:themeShade="BF"/>
      <w:spacing w:val="5"/>
    </w:rPr>
  </w:style>
  <w:style w:type="table" w:styleId="TableGrid">
    <w:name w:val="Table Grid"/>
    <w:basedOn w:val="TableNormal"/>
    <w:uiPriority w:val="39"/>
    <w:rsid w:val="0006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D49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4926"/>
    <w:rPr>
      <w:sz w:val="20"/>
      <w:szCs w:val="20"/>
    </w:rPr>
  </w:style>
  <w:style w:type="character" w:styleId="FootnoteReference">
    <w:name w:val="footnote reference"/>
    <w:basedOn w:val="DefaultParagraphFont"/>
    <w:uiPriority w:val="99"/>
    <w:semiHidden/>
    <w:unhideWhenUsed/>
    <w:rsid w:val="001D4926"/>
    <w:rPr>
      <w:vertAlign w:val="superscript"/>
    </w:rPr>
  </w:style>
  <w:style w:type="character" w:styleId="Hyperlink">
    <w:name w:val="Hyperlink"/>
    <w:basedOn w:val="DefaultParagraphFont"/>
    <w:uiPriority w:val="99"/>
    <w:unhideWhenUsed/>
    <w:rsid w:val="001D4926"/>
    <w:rPr>
      <w:color w:val="467886" w:themeColor="hyperlink"/>
      <w:u w:val="single"/>
    </w:rPr>
  </w:style>
  <w:style w:type="character" w:styleId="UnresolvedMention">
    <w:name w:val="Unresolved Mention"/>
    <w:basedOn w:val="DefaultParagraphFont"/>
    <w:uiPriority w:val="99"/>
    <w:semiHidden/>
    <w:unhideWhenUsed/>
    <w:rsid w:val="001D4926"/>
    <w:rPr>
      <w:color w:val="605E5C"/>
      <w:shd w:val="clear" w:color="auto" w:fill="E1DFDD"/>
    </w:rPr>
  </w:style>
  <w:style w:type="paragraph" w:styleId="Header">
    <w:name w:val="header"/>
    <w:basedOn w:val="Normal"/>
    <w:link w:val="HeaderChar"/>
    <w:uiPriority w:val="99"/>
    <w:unhideWhenUsed/>
    <w:rsid w:val="00560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7AA"/>
  </w:style>
  <w:style w:type="paragraph" w:styleId="Footer">
    <w:name w:val="footer"/>
    <w:basedOn w:val="Normal"/>
    <w:link w:val="FooterChar"/>
    <w:uiPriority w:val="99"/>
    <w:unhideWhenUsed/>
    <w:rsid w:val="005607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bjpa.org/content/upload/bjpa/7com/7communal.pdf" TargetMode="External"/><Relationship Id="rId1" Type="http://schemas.openxmlformats.org/officeDocument/2006/relationships/hyperlink" Target="https://jwa.org/encyclopedia/article/bamber-gol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AC458-BFC7-4FFE-8D50-86FC159BB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10</Pages>
  <Words>1428</Words>
  <Characters>8146</Characters>
  <Application>Microsoft Office Word</Application>
  <DocSecurity>0</DocSecurity>
  <Lines>67</Lines>
  <Paragraphs>19</Paragraphs>
  <ScaleCrop>false</ScaleCrop>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Chaidell</dc:creator>
  <cp:keywords/>
  <dc:description/>
  <cp:lastModifiedBy>Benjamin Chaidell</cp:lastModifiedBy>
  <cp:revision>35</cp:revision>
  <dcterms:created xsi:type="dcterms:W3CDTF">2025-11-19T16:30:00Z</dcterms:created>
  <dcterms:modified xsi:type="dcterms:W3CDTF">2025-11-20T01:42:00Z</dcterms:modified>
</cp:coreProperties>
</file>