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078" w:rsidRDefault="00313078" w:rsidP="00313078">
      <w:pPr>
        <w:tabs>
          <w:tab w:val="num" w:pos="720"/>
        </w:tabs>
        <w:ind w:left="720" w:hanging="360"/>
      </w:pPr>
      <w:r>
        <w:t>HPBAP – Govt Affairs Update</w:t>
      </w:r>
    </w:p>
    <w:p w:rsidR="00313078" w:rsidRDefault="00313078" w:rsidP="00313078">
      <w:pPr>
        <w:tabs>
          <w:tab w:val="num" w:pos="720"/>
        </w:tabs>
        <w:ind w:left="720" w:hanging="360"/>
      </w:pPr>
      <w:r>
        <w:t>Shannon Reyna</w:t>
      </w:r>
    </w:p>
    <w:p w:rsidR="00313078" w:rsidRDefault="00313078" w:rsidP="00313078">
      <w:pPr>
        <w:tabs>
          <w:tab w:val="num" w:pos="720"/>
        </w:tabs>
        <w:ind w:left="720" w:hanging="360"/>
      </w:pPr>
      <w:r>
        <w:t>8/4/2025</w:t>
      </w:r>
    </w:p>
    <w:p w:rsidR="00313078" w:rsidRDefault="00313078" w:rsidP="00313078">
      <w:pPr>
        <w:tabs>
          <w:tab w:val="num" w:pos="720"/>
        </w:tabs>
        <w:ind w:left="720" w:hanging="360"/>
      </w:pPr>
    </w:p>
    <w:p w:rsidR="00313078" w:rsidRPr="00313078" w:rsidRDefault="00313078" w:rsidP="00313078">
      <w:pPr>
        <w:autoSpaceDE w:val="0"/>
        <w:autoSpaceDN w:val="0"/>
        <w:adjustRightInd w:val="0"/>
        <w:rPr>
          <w:rFonts w:ascii="AppleSystemUIFont" w:hAnsi="AppleSystemUIFont" w:cs="AppleSystemUIFont"/>
          <w:b/>
          <w:bCs/>
          <w:u w:val="single"/>
        </w:rPr>
      </w:pPr>
      <w:r w:rsidRPr="00313078">
        <w:rPr>
          <w:rFonts w:ascii="AppleSystemUIFont" w:hAnsi="AppleSystemUIFont" w:cs="AppleSystemUIFont"/>
          <w:b/>
          <w:bCs/>
          <w:u w:val="single"/>
        </w:rPr>
        <w:t>“</w:t>
      </w:r>
      <w:r w:rsidRPr="00313078">
        <w:rPr>
          <w:rFonts w:ascii="AppleSystemUIFont" w:hAnsi="AppleSystemUIFont" w:cs="AppleSystemUIFont"/>
          <w:b/>
          <w:bCs/>
          <w:u w:val="single"/>
        </w:rPr>
        <w:t>The Abundance Movement</w:t>
      </w:r>
      <w:r w:rsidRPr="00313078">
        <w:rPr>
          <w:rFonts w:ascii="AppleSystemUIFont" w:hAnsi="AppleSystemUIFont" w:cs="AppleSystemUIFont"/>
          <w:b/>
          <w:bCs/>
          <w:u w:val="single"/>
        </w:rPr>
        <w:t>” or Build Baby Build</w:t>
      </w:r>
      <w:r>
        <w:rPr>
          <w:rFonts w:ascii="AppleSystemUIFont" w:hAnsi="AppleSystemUIFont" w:cs="AppleSystemUIFont"/>
          <w:b/>
          <w:bCs/>
          <w:u w:val="single"/>
        </w:rPr>
        <w:t xml:space="preserve"> – My Notes</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 xml:space="preserve">2 housing trailer bills. Trailer creates provision of budget which means it takes </w:t>
      </w:r>
      <w:r w:rsidRPr="00313078">
        <w:rPr>
          <w:rFonts w:ascii="AppleSystemUIFont" w:hAnsi="AppleSystemUIFont" w:cs="AppleSystemUIFont"/>
        </w:rPr>
        <w:t>e</w:t>
      </w:r>
      <w:r w:rsidRPr="00313078">
        <w:rPr>
          <w:rFonts w:ascii="AppleSystemUIFont" w:hAnsi="AppleSystemUIFont" w:cs="AppleSystemUIFont"/>
        </w:rPr>
        <w:t xml:space="preserve">ffect on signature. These take </w:t>
      </w:r>
      <w:proofErr w:type="spellStart"/>
      <w:r w:rsidRPr="00313078">
        <w:rPr>
          <w:rFonts w:ascii="AppleSystemUIFont" w:hAnsi="AppleSystemUIFont" w:cs="AppleSystemUIFont"/>
        </w:rPr>
        <w:t>affect</w:t>
      </w:r>
      <w:proofErr w:type="spellEnd"/>
      <w:r w:rsidRPr="00313078">
        <w:rPr>
          <w:rFonts w:ascii="AppleSystemUIFont" w:hAnsi="AppleSystemUIFont" w:cs="AppleSystemUIFont"/>
        </w:rPr>
        <w:t xml:space="preserve"> immediately.</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Ex</w:t>
      </w:r>
      <w:r w:rsidRPr="00313078">
        <w:rPr>
          <w:rFonts w:ascii="AppleSystemUIFont" w:hAnsi="AppleSystemUIFont" w:cs="AppleSystemUIFont"/>
        </w:rPr>
        <w:t>c</w:t>
      </w:r>
      <w:r w:rsidRPr="00313078">
        <w:rPr>
          <w:rFonts w:ascii="AppleSystemUIFont" w:hAnsi="AppleSystemUIFont" w:cs="AppleSystemUIFont"/>
        </w:rPr>
        <w:t>luding certain items fro</w:t>
      </w:r>
      <w:r w:rsidRPr="00313078">
        <w:rPr>
          <w:rFonts w:ascii="AppleSystemUIFont" w:hAnsi="AppleSystemUIFont" w:cs="AppleSystemUIFont"/>
        </w:rPr>
        <w:t>m</w:t>
      </w:r>
      <w:r w:rsidRPr="00313078">
        <w:rPr>
          <w:rFonts w:ascii="AppleSystemUIFont" w:hAnsi="AppleSystemUIFont" w:cs="AppleSystemUIFont"/>
        </w:rPr>
        <w:t xml:space="preserve"> CEQA. </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Limits Coastal Commission and open</w:t>
      </w:r>
      <w:r w:rsidRPr="00313078">
        <w:rPr>
          <w:rFonts w:ascii="AppleSystemUIFont" w:hAnsi="AppleSystemUIFont" w:cs="AppleSystemUIFont"/>
        </w:rPr>
        <w:t>s</w:t>
      </w:r>
      <w:r w:rsidRPr="00313078">
        <w:rPr>
          <w:rFonts w:ascii="AppleSystemUIFont" w:hAnsi="AppleSystemUIFont" w:cs="AppleSystemUIFont"/>
        </w:rPr>
        <w:t xml:space="preserve"> up permitting there.</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AB</w:t>
      </w:r>
      <w:r w:rsidRPr="00313078">
        <w:rPr>
          <w:rFonts w:ascii="AppleSystemUIFont" w:hAnsi="AppleSystemUIFont" w:cs="AppleSystemUIFont"/>
        </w:rPr>
        <w:t>130</w:t>
      </w:r>
      <w:r w:rsidRPr="00313078">
        <w:rPr>
          <w:rFonts w:ascii="AppleSystemUIFont" w:hAnsi="AppleSystemUIFont" w:cs="AppleSystemUIFont"/>
        </w:rPr>
        <w:t xml:space="preserve"> limited local building codes including reach codes and enforced - no all electric ordinance rule until 2031.   Doesn’t affect 2025 codes already passed.</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SB131 explicitly exempted rezoning except a few things, water, bread band, see list.</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By Statute - Statute is black and white law, no interpretation.</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Most exemptions are really great. More flags in the ground starting right away. Shaving off years of environment review. Significant change to costs and problems of CEQA slowing down and obstructing project</w:t>
      </w:r>
      <w:r w:rsidRPr="00313078">
        <w:rPr>
          <w:rFonts w:ascii="AppleSystemUIFont" w:hAnsi="AppleSystemUIFont" w:cs="AppleSystemUIFont"/>
        </w:rPr>
        <w:t>s</w:t>
      </w:r>
      <w:r w:rsidRPr="00313078">
        <w:rPr>
          <w:rFonts w:ascii="AppleSystemUIFont" w:hAnsi="AppleSystemUIFont" w:cs="AppleSystemUIFont"/>
        </w:rPr>
        <w:t>.</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 xml:space="preserve">Included language to lock in of model homes. Once models built, approval is good for 10 years. </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 xml:space="preserve">We will see super charged building especially infill. </w:t>
      </w:r>
    </w:p>
    <w:p w:rsidR="00313078" w:rsidRPr="00313078" w:rsidRDefault="00313078" w:rsidP="00313078">
      <w:pPr>
        <w:pStyle w:val="ListParagraph"/>
        <w:numPr>
          <w:ilvl w:val="0"/>
          <w:numId w:val="2"/>
        </w:numPr>
        <w:autoSpaceDE w:val="0"/>
        <w:autoSpaceDN w:val="0"/>
        <w:adjustRightInd w:val="0"/>
        <w:rPr>
          <w:rFonts w:ascii="AppleSystemUIFont" w:hAnsi="AppleSystemUIFont" w:cs="AppleSystemUIFont"/>
        </w:rPr>
      </w:pPr>
      <w:r w:rsidRPr="00313078">
        <w:rPr>
          <w:rFonts w:ascii="AppleSystemUIFont" w:hAnsi="AppleSystemUIFont" w:cs="AppleSystemUIFont"/>
        </w:rPr>
        <w:t>Might be more urban but also might be more rural. Expanded transportation opens up more housing.</w:t>
      </w:r>
    </w:p>
    <w:p w:rsidR="00313078" w:rsidRPr="00313078" w:rsidRDefault="00313078" w:rsidP="00313078">
      <w:pPr>
        <w:spacing w:before="100" w:beforeAutospacing="1" w:after="100" w:afterAutospacing="1"/>
        <w:ind w:left="360"/>
        <w:rPr>
          <w:rFonts w:eastAsia="Times New Roman" w:cstheme="minorHAnsi"/>
          <w:b/>
          <w:bCs/>
          <w:sz w:val="28"/>
          <w:szCs w:val="28"/>
          <w:u w:val="single"/>
        </w:rPr>
      </w:pPr>
      <w:r w:rsidRPr="00313078">
        <w:rPr>
          <w:rFonts w:eastAsia="Times New Roman" w:cstheme="minorHAnsi"/>
          <w:b/>
          <w:bCs/>
          <w:sz w:val="28"/>
          <w:szCs w:val="28"/>
          <w:u w:val="single"/>
        </w:rPr>
        <w:t>WPGA – Summary of key items July 2025</w:t>
      </w:r>
      <w:r>
        <w:rPr>
          <w:rFonts w:eastAsia="Times New Roman" w:cstheme="minorHAnsi"/>
          <w:b/>
          <w:bCs/>
          <w:sz w:val="28"/>
          <w:szCs w:val="28"/>
          <w:u w:val="single"/>
        </w:rPr>
        <w:t xml:space="preserve">- from Colin </w:t>
      </w:r>
      <w:proofErr w:type="spellStart"/>
      <w:r>
        <w:rPr>
          <w:rFonts w:eastAsia="Times New Roman" w:cstheme="minorHAnsi"/>
          <w:b/>
          <w:bCs/>
          <w:sz w:val="28"/>
          <w:szCs w:val="28"/>
          <w:u w:val="single"/>
        </w:rPr>
        <w:t>Sueyres</w:t>
      </w:r>
      <w:proofErr w:type="spellEnd"/>
    </w:p>
    <w:p w:rsidR="00313078" w:rsidRPr="00313078" w:rsidRDefault="00313078" w:rsidP="00313078">
      <w:pPr>
        <w:numPr>
          <w:ilvl w:val="0"/>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Legislation</w:t>
      </w:r>
    </w:p>
    <w:p w:rsidR="00313078" w:rsidRPr="00313078" w:rsidRDefault="00313078" w:rsidP="00313078">
      <w:pPr>
        <w:numPr>
          <w:ilvl w:val="1"/>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FEDERAL – One Big Beautiful Bill (</w:t>
      </w:r>
      <w:hyperlink r:id="rId5" w:tgtFrame="_blank" w:history="1">
        <w:r w:rsidRPr="00313078">
          <w:rPr>
            <w:rFonts w:ascii="Arial" w:eastAsia="Times New Roman" w:hAnsi="Arial" w:cs="Arial"/>
            <w:color w:val="0000FF"/>
            <w:u w:val="single"/>
          </w:rPr>
          <w:t>HR 1</w:t>
        </w:r>
      </w:hyperlink>
      <w:r w:rsidRPr="00313078">
        <w:rPr>
          <w:rFonts w:ascii="Arial" w:eastAsia="Times New Roman" w:hAnsi="Arial" w:cs="Arial"/>
        </w:rPr>
        <w:t>) Passed into Law; What Will it Mean for California?</w:t>
      </w:r>
      <w:bookmarkStart w:id="0" w:name="_GoBack"/>
      <w:bookmarkEnd w:id="0"/>
    </w:p>
    <w:p w:rsidR="00313078" w:rsidRPr="00313078" w:rsidRDefault="00313078" w:rsidP="00313078">
      <w:pPr>
        <w:numPr>
          <w:ilvl w:val="2"/>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 xml:space="preserve">Broad Pull Back of Funding from </w:t>
      </w:r>
      <w:hyperlink r:id="rId6" w:tgtFrame="_blank" w:history="1">
        <w:r w:rsidRPr="00313078">
          <w:rPr>
            <w:rFonts w:ascii="Arial" w:eastAsia="Times New Roman" w:hAnsi="Arial" w:cs="Arial"/>
            <w:color w:val="0000FF"/>
            <w:u w:val="single"/>
          </w:rPr>
          <w:t>Inflation Reduction Act</w:t>
        </w:r>
      </w:hyperlink>
      <w:r w:rsidRPr="00313078">
        <w:rPr>
          <w:rFonts w:ascii="Arial" w:eastAsia="Times New Roman" w:hAnsi="Arial" w:cs="Arial"/>
        </w:rPr>
        <w:t>, including Building Electrification, Federal GGRF, SAF Excise Tax Credit, ZEV Manufacturing, Electricity Transmission, Wind Turbines, OCED Programs, Diesel Emissions Reductions, Expanded Air Monitoring, Data Collection, and More</w:t>
      </w:r>
    </w:p>
    <w:p w:rsidR="00313078" w:rsidRPr="00313078" w:rsidRDefault="00313078" w:rsidP="00313078">
      <w:pPr>
        <w:numPr>
          <w:ilvl w:val="2"/>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Eliminates Consumer Tax Credits for Renewable Energy (25D), Energy Efficiency Improvements (25C, 45L, and 179D), EV Credits for Residential and Commercial.</w:t>
      </w:r>
    </w:p>
    <w:p w:rsidR="00313078" w:rsidRPr="00313078" w:rsidRDefault="00313078" w:rsidP="00313078">
      <w:pPr>
        <w:numPr>
          <w:ilvl w:val="0"/>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Budget</w:t>
      </w:r>
    </w:p>
    <w:p w:rsidR="00313078" w:rsidRPr="00313078" w:rsidRDefault="00313078" w:rsidP="00313078">
      <w:pPr>
        <w:numPr>
          <w:ilvl w:val="1"/>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i/>
          <w:iCs/>
        </w:rPr>
        <w:t>BUILD BABY BUILD</w:t>
      </w:r>
      <w:r w:rsidRPr="00313078">
        <w:rPr>
          <w:rFonts w:ascii="Arial" w:eastAsia="Times New Roman" w:hAnsi="Arial" w:cs="Arial"/>
        </w:rPr>
        <w:t>: Housing TBLs (</w:t>
      </w:r>
      <w:hyperlink r:id="rId7" w:tgtFrame="_blank" w:history="1">
        <w:r w:rsidRPr="00313078">
          <w:rPr>
            <w:rFonts w:ascii="Arial" w:eastAsia="Times New Roman" w:hAnsi="Arial" w:cs="Arial"/>
            <w:color w:val="0000FF"/>
            <w:u w:val="single"/>
          </w:rPr>
          <w:t>AB 130</w:t>
        </w:r>
      </w:hyperlink>
      <w:r w:rsidRPr="00313078">
        <w:rPr>
          <w:rFonts w:ascii="Arial" w:eastAsia="Times New Roman" w:hAnsi="Arial" w:cs="Arial"/>
        </w:rPr>
        <w:t xml:space="preserve"> and </w:t>
      </w:r>
      <w:hyperlink r:id="rId8" w:tgtFrame="_blank" w:history="1">
        <w:r w:rsidRPr="00313078">
          <w:rPr>
            <w:rFonts w:ascii="Arial" w:eastAsia="Times New Roman" w:hAnsi="Arial" w:cs="Arial"/>
            <w:color w:val="0000FF"/>
            <w:u w:val="single"/>
          </w:rPr>
          <w:t>SB 131</w:t>
        </w:r>
      </w:hyperlink>
      <w:r w:rsidRPr="00313078">
        <w:rPr>
          <w:rFonts w:ascii="Arial" w:eastAsia="Times New Roman" w:hAnsi="Arial" w:cs="Arial"/>
        </w:rPr>
        <w:t xml:space="preserve">) Change the Game on CEQA for Housing – But EJs </w:t>
      </w:r>
      <w:hyperlink r:id="rId9" w:tgtFrame="_blank" w:history="1">
        <w:r w:rsidRPr="00313078">
          <w:rPr>
            <w:rFonts w:ascii="Arial" w:eastAsia="Times New Roman" w:hAnsi="Arial" w:cs="Arial"/>
            <w:color w:val="0000FF"/>
            <w:u w:val="single"/>
          </w:rPr>
          <w:t>Are Not Happy</w:t>
        </w:r>
      </w:hyperlink>
    </w:p>
    <w:p w:rsidR="00313078" w:rsidRPr="00313078" w:rsidRDefault="00313078" w:rsidP="00313078">
      <w:pPr>
        <w:numPr>
          <w:ilvl w:val="2"/>
          <w:numId w:val="1"/>
        </w:numPr>
        <w:spacing w:before="100" w:beforeAutospacing="1" w:after="100" w:afterAutospacing="1"/>
        <w:rPr>
          <w:rFonts w:ascii="Times New Roman" w:eastAsia="Times New Roman" w:hAnsi="Times New Roman" w:cs="Times New Roman"/>
          <w:b/>
          <w:bCs/>
          <w:color w:val="FF0000"/>
          <w:u w:val="single"/>
        </w:rPr>
      </w:pPr>
      <w:r w:rsidRPr="00313078">
        <w:rPr>
          <w:rFonts w:ascii="Arial" w:eastAsia="Times New Roman" w:hAnsi="Arial" w:cs="Arial"/>
        </w:rPr>
        <w:t>AB 130 Expressly Excludes Certain Infill Projects from CEQA Review (AB 605), Changes VMT Mitigation Requirements, and Limits Coastal Commission Appeals. Plus! Language from AB 306 Limiting Local Building Codes (</w:t>
      </w:r>
      <w:r w:rsidRPr="00313078">
        <w:rPr>
          <w:rFonts w:ascii="Arial" w:eastAsia="Times New Roman" w:hAnsi="Arial" w:cs="Arial"/>
          <w:b/>
          <w:bCs/>
          <w:color w:val="FF0000"/>
          <w:u w:val="single"/>
        </w:rPr>
        <w:t>And No All-Electric Ordinances Until 2031)</w:t>
      </w:r>
    </w:p>
    <w:p w:rsidR="00313078" w:rsidRPr="00313078" w:rsidRDefault="00313078" w:rsidP="00313078">
      <w:pPr>
        <w:numPr>
          <w:ilvl w:val="2"/>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SB 131 Explicitly Exempts Most Rezoning (Except Oil/Gas, Warehousing, or Protected Lands), Community Water, Wildfire Reduction, Broadband, Daycare, Advanced Manufacturing, and Transit Rail from CEQA by Statute</w:t>
      </w:r>
    </w:p>
    <w:p w:rsidR="00313078" w:rsidRPr="00313078" w:rsidRDefault="00313078" w:rsidP="00313078">
      <w:pPr>
        <w:numPr>
          <w:ilvl w:val="0"/>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Regulatory</w:t>
      </w:r>
    </w:p>
    <w:p w:rsidR="00313078" w:rsidRPr="00313078" w:rsidRDefault="00313078" w:rsidP="00313078">
      <w:pPr>
        <w:numPr>
          <w:ilvl w:val="1"/>
          <w:numId w:val="1"/>
        </w:numPr>
        <w:spacing w:before="100" w:beforeAutospacing="1" w:after="100" w:afterAutospacing="1"/>
        <w:rPr>
          <w:rFonts w:ascii="Times New Roman" w:eastAsia="Times New Roman" w:hAnsi="Times New Roman" w:cs="Times New Roman"/>
        </w:rPr>
      </w:pPr>
      <w:r w:rsidRPr="00313078">
        <w:rPr>
          <w:rFonts w:ascii="Arial" w:eastAsia="Times New Roman" w:hAnsi="Arial" w:cs="Arial"/>
        </w:rPr>
        <w:t xml:space="preserve">CEC Responds to Refinery Closures by </w:t>
      </w:r>
      <w:hyperlink r:id="rId10" w:tgtFrame="_blank" w:history="1">
        <w:r w:rsidRPr="00313078">
          <w:rPr>
            <w:rFonts w:ascii="Arial" w:eastAsia="Times New Roman" w:hAnsi="Arial" w:cs="Arial"/>
            <w:color w:val="0000FF"/>
            <w:u w:val="single"/>
          </w:rPr>
          <w:t>Recommending that Gov. Newsom</w:t>
        </w:r>
      </w:hyperlink>
      <w:r w:rsidRPr="00313078">
        <w:rPr>
          <w:rFonts w:ascii="Arial" w:eastAsia="Times New Roman" w:hAnsi="Arial" w:cs="Arial"/>
        </w:rPr>
        <w:t xml:space="preserve"> Import More Fuel, "Stabilize" In-State Crude Production, and Pause the Profit Cap on Refineries</w:t>
      </w:r>
    </w:p>
    <w:p w:rsidR="00534B1C" w:rsidRDefault="00B05ADA"/>
    <w:sectPr w:rsidR="00534B1C" w:rsidSect="00313078">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1329"/>
    <w:multiLevelType w:val="hybridMultilevel"/>
    <w:tmpl w:val="7AA2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64490"/>
    <w:multiLevelType w:val="multilevel"/>
    <w:tmpl w:val="3078E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78"/>
    <w:rsid w:val="00106B63"/>
    <w:rsid w:val="00313078"/>
    <w:rsid w:val="0033474B"/>
    <w:rsid w:val="00B05ADA"/>
    <w:rsid w:val="00F14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013F08"/>
  <w15:chartTrackingRefBased/>
  <w15:docId w15:val="{4619ED53-6AEA-184F-9BF2-F6A6D1B39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3078"/>
    <w:rPr>
      <w:color w:val="0000FF"/>
      <w:u w:val="single"/>
    </w:rPr>
  </w:style>
  <w:style w:type="character" w:customStyle="1" w:styleId="il">
    <w:name w:val="il"/>
    <w:basedOn w:val="DefaultParagraphFont"/>
    <w:rsid w:val="00313078"/>
  </w:style>
  <w:style w:type="paragraph" w:styleId="ListParagraph">
    <w:name w:val="List Paragraph"/>
    <w:basedOn w:val="Normal"/>
    <w:uiPriority w:val="34"/>
    <w:qFormat/>
    <w:rsid w:val="003130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6628">
      <w:bodyDiv w:val="1"/>
      <w:marLeft w:val="0"/>
      <w:marRight w:val="0"/>
      <w:marTop w:val="0"/>
      <w:marBottom w:val="0"/>
      <w:divBdr>
        <w:top w:val="none" w:sz="0" w:space="0" w:color="auto"/>
        <w:left w:val="none" w:sz="0" w:space="0" w:color="auto"/>
        <w:bottom w:val="none" w:sz="0" w:space="0" w:color="auto"/>
        <w:right w:val="none" w:sz="0" w:space="0" w:color="auto"/>
      </w:divBdr>
      <w:divsChild>
        <w:div w:id="2104643871">
          <w:marLeft w:val="0"/>
          <w:marRight w:val="0"/>
          <w:marTop w:val="0"/>
          <w:marBottom w:val="0"/>
          <w:divBdr>
            <w:top w:val="none" w:sz="0" w:space="0" w:color="auto"/>
            <w:left w:val="none" w:sz="0" w:space="0" w:color="auto"/>
            <w:bottom w:val="none" w:sz="0" w:space="0" w:color="auto"/>
            <w:right w:val="none" w:sz="0" w:space="0" w:color="auto"/>
          </w:divBdr>
          <w:divsChild>
            <w:div w:id="480004338">
              <w:marLeft w:val="0"/>
              <w:marRight w:val="0"/>
              <w:marTop w:val="0"/>
              <w:marBottom w:val="0"/>
              <w:divBdr>
                <w:top w:val="none" w:sz="0" w:space="0" w:color="auto"/>
                <w:left w:val="none" w:sz="0" w:space="0" w:color="auto"/>
                <w:bottom w:val="none" w:sz="0" w:space="0" w:color="auto"/>
                <w:right w:val="none" w:sz="0" w:space="0" w:color="auto"/>
              </w:divBdr>
            </w:div>
          </w:divsChild>
        </w:div>
        <w:div w:id="7501955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nfo.legislature.ca.gov/faces/billNavClient.xhtml?bill_id=202520260SB131" TargetMode="External"/><Relationship Id="rId3" Type="http://schemas.openxmlformats.org/officeDocument/2006/relationships/settings" Target="settings.xml"/><Relationship Id="rId7" Type="http://schemas.openxmlformats.org/officeDocument/2006/relationships/hyperlink" Target="https://leginfo.legislature.ca.gov/faces/billNavClient.xhtml?bill_id=202520260AB13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law.columbia.edu/climatechange/2025/05/13/ira-programs-at-risk-under-the-budget-reconciliation-bill/" TargetMode="External"/><Relationship Id="rId11" Type="http://schemas.openxmlformats.org/officeDocument/2006/relationships/fontTable" Target="fontTable.xml"/><Relationship Id="rId5" Type="http://schemas.openxmlformats.org/officeDocument/2006/relationships/hyperlink" Target="https://www.congress.gov/bill/119th-congress/house-bill/1/text" TargetMode="External"/><Relationship Id="rId10" Type="http://schemas.openxmlformats.org/officeDocument/2006/relationships/hyperlink" Target="https://www.energy.ca.gov/sites/default/files/2025-06/CEC%27s_Response_to_Governor_Newsom%27s_Letter_June-27-2025.pdf" TargetMode="External"/><Relationship Id="rId4" Type="http://schemas.openxmlformats.org/officeDocument/2006/relationships/webSettings" Target="webSettings.xml"/><Relationship Id="rId9" Type="http://schemas.openxmlformats.org/officeDocument/2006/relationships/hyperlink" Target="https://www.politico.com/newsletters/california-climate/2025/06/30/how-enviros-lost-ceqa-004346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475</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2025-08-05T00:26:00Z</dcterms:created>
  <dcterms:modified xsi:type="dcterms:W3CDTF">2025-08-05T00:36:00Z</dcterms:modified>
</cp:coreProperties>
</file>