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85D" w:rsidRDefault="0037785D" w:rsidP="004615EC">
      <w:pPr>
        <w:pStyle w:val="TitleHeading"/>
        <w:spacing w:before="200"/>
        <w:ind w:right="-14"/>
        <w:rPr>
          <w:rFonts w:asciiTheme="majorHAnsi" w:hAnsiTheme="majorHAnsi"/>
          <w:color w:val="0C2340"/>
        </w:rPr>
      </w:pPr>
      <w:bookmarkStart w:id="0" w:name="_GoBack"/>
      <w:bookmarkEnd w:id="0"/>
    </w:p>
    <w:p w:rsidR="0037785D" w:rsidRPr="0037785D" w:rsidRDefault="0037785D" w:rsidP="0037785D">
      <w:pPr>
        <w:pStyle w:val="TitleHeading"/>
        <w:spacing w:line="240" w:lineRule="auto"/>
        <w:ind w:right="-14"/>
        <w:rPr>
          <w:rFonts w:asciiTheme="majorHAnsi" w:hAnsiTheme="majorHAnsi"/>
          <w:color w:val="0C2340"/>
          <w:sz w:val="24"/>
          <w:szCs w:val="24"/>
        </w:rPr>
      </w:pPr>
    </w:p>
    <w:p w:rsidR="004615EC" w:rsidRPr="00F603FC" w:rsidRDefault="005E5E15" w:rsidP="002915BF">
      <w:pPr>
        <w:pStyle w:val="TitleHeading"/>
        <w:spacing w:before="200"/>
        <w:ind w:right="-14"/>
        <w:rPr>
          <w:color w:val="0C2340"/>
        </w:rPr>
      </w:pPr>
      <w:r>
        <w:rPr>
          <w:rFonts w:asciiTheme="majorHAnsi" w:hAnsiTheme="majorHAnsi"/>
          <w:color w:val="0C2340"/>
        </w:rPr>
        <w:t xml:space="preserve">Concurrent Enrollment Update </w:t>
      </w:r>
      <w:r w:rsidR="00B66AED">
        <w:rPr>
          <w:rFonts w:asciiTheme="majorHAnsi" w:hAnsiTheme="majorHAnsi"/>
          <w:color w:val="0C2340"/>
        </w:rPr>
        <w:t>January 2017</w:t>
      </w:r>
    </w:p>
    <w:p w:rsidR="00433060" w:rsidRDefault="007E5622" w:rsidP="002915BF">
      <w:pPr>
        <w:spacing w:after="0"/>
        <w:ind w:left="720" w:hanging="720"/>
        <w:rPr>
          <w:rFonts w:asciiTheme="majorHAnsi" w:eastAsia="Calibri" w:hAnsiTheme="majorHAnsi" w:cs="Calibri"/>
          <w:bCs/>
          <w:color w:val="009F4D"/>
          <w:position w:val="1"/>
          <w:sz w:val="24"/>
          <w:szCs w:val="24"/>
        </w:rPr>
      </w:pPr>
      <w:r w:rsidRPr="00A44A4D">
        <w:rPr>
          <w:rFonts w:asciiTheme="majorHAnsi" w:eastAsia="Calibri" w:hAnsiTheme="majorHAnsi" w:cs="Calibri"/>
          <w:bCs/>
          <w:color w:val="009F4D"/>
          <w:position w:val="1"/>
          <w:sz w:val="24"/>
          <w:szCs w:val="24"/>
        </w:rPr>
        <w:t>Application to Higher Learning Commission</w:t>
      </w:r>
      <w:r w:rsidR="00B66AED" w:rsidRPr="00B66AED">
        <w:rPr>
          <w:rFonts w:asciiTheme="majorHAnsi" w:eastAsia="Calibri" w:hAnsiTheme="majorHAnsi" w:cs="Calibri"/>
          <w:bCs/>
          <w:color w:val="009F4D"/>
          <w:position w:val="1"/>
          <w:sz w:val="24"/>
          <w:szCs w:val="24"/>
        </w:rPr>
        <w:t xml:space="preserve"> </w:t>
      </w:r>
      <w:r w:rsidR="00B66AED">
        <w:rPr>
          <w:rFonts w:asciiTheme="majorHAnsi" w:eastAsia="Calibri" w:hAnsiTheme="majorHAnsi" w:cs="Calibri"/>
          <w:bCs/>
          <w:color w:val="009F4D"/>
          <w:position w:val="1"/>
          <w:sz w:val="24"/>
          <w:szCs w:val="24"/>
        </w:rPr>
        <w:t xml:space="preserve">- Faculty Qualifications for Concurrent </w:t>
      </w:r>
      <w:r w:rsidR="00433060">
        <w:rPr>
          <w:rFonts w:asciiTheme="majorHAnsi" w:eastAsia="Calibri" w:hAnsiTheme="majorHAnsi" w:cs="Calibri"/>
          <w:bCs/>
          <w:color w:val="009F4D"/>
          <w:position w:val="1"/>
          <w:sz w:val="24"/>
          <w:szCs w:val="24"/>
        </w:rPr>
        <w:t>Enrollment</w:t>
      </w:r>
    </w:p>
    <w:p w:rsidR="007E5622" w:rsidRDefault="00B66AED" w:rsidP="002915BF">
      <w:pPr>
        <w:spacing w:after="0"/>
        <w:ind w:left="720" w:hanging="720"/>
        <w:rPr>
          <w:rFonts w:asciiTheme="majorHAnsi" w:eastAsia="Calibri" w:hAnsiTheme="majorHAnsi" w:cs="Calibri"/>
          <w:bCs/>
          <w:color w:val="009F4D"/>
          <w:position w:val="1"/>
          <w:sz w:val="24"/>
          <w:szCs w:val="24"/>
        </w:rPr>
      </w:pPr>
      <w:r>
        <w:rPr>
          <w:rFonts w:asciiTheme="majorHAnsi" w:eastAsia="Calibri" w:hAnsiTheme="majorHAnsi" w:cs="Calibri"/>
          <w:bCs/>
          <w:color w:val="009F4D"/>
          <w:position w:val="1"/>
          <w:sz w:val="24"/>
          <w:szCs w:val="24"/>
        </w:rPr>
        <w:t>Instructors</w:t>
      </w:r>
    </w:p>
    <w:p w:rsidR="00433060" w:rsidRDefault="00433060" w:rsidP="00B66AED">
      <w:r w:rsidRPr="00433060">
        <w:rPr>
          <w:rFonts w:asciiTheme="majorHAnsi" w:eastAsia="Calibri" w:hAnsiTheme="majorHAnsi" w:cs="Calibri"/>
          <w:bCs/>
          <w:noProof/>
          <w:color w:val="009F4D"/>
          <w:position w:val="1"/>
          <w:sz w:val="24"/>
          <w:szCs w:val="24"/>
        </w:rPr>
        <w:drawing>
          <wp:inline distT="0" distB="0" distL="0" distR="0" wp14:anchorId="30A7356C" wp14:editId="19B936BF">
            <wp:extent cx="235479" cy="238125"/>
            <wp:effectExtent l="0" t="0" r="0" b="0"/>
            <wp:docPr id="2" name="Picture 2" descr="C:\Users\km6652ea\Desktop\checkbox-303113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6652ea\Desktop\checkbox-303113_960_7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241" cy="253053"/>
                    </a:xfrm>
                    <a:prstGeom prst="rect">
                      <a:avLst/>
                    </a:prstGeom>
                    <a:noFill/>
                    <a:ln>
                      <a:noFill/>
                    </a:ln>
                  </pic:spPr>
                </pic:pic>
              </a:graphicData>
            </a:graphic>
          </wp:inline>
        </w:drawing>
      </w:r>
      <w:r>
        <w:t xml:space="preserve"> </w:t>
      </w:r>
      <w:r w:rsidR="00B464B9">
        <w:tab/>
      </w:r>
      <w:r w:rsidR="00B66AED" w:rsidRPr="00A87CA7">
        <w:t xml:space="preserve">In response to HLC’s 2015 clarifications on the standards for minimum faculty qualifications for concurrent enrollment instructors, </w:t>
      </w:r>
      <w:r w:rsidR="00B66AED" w:rsidRPr="00433060">
        <w:rPr>
          <w:b/>
        </w:rPr>
        <w:t>Minnesota State completed a review of the credentials of all current concurrent enrollment instructors</w:t>
      </w:r>
      <w:r w:rsidR="00B66AED" w:rsidRPr="00A87CA7">
        <w:t xml:space="preserve"> and have established the scope and areas of credentialing needs statewide</w:t>
      </w:r>
      <w:r w:rsidR="00B66AED">
        <w:t xml:space="preserve"> within our system</w:t>
      </w:r>
      <w:r w:rsidR="00B66AED" w:rsidRPr="00A87CA7">
        <w:t xml:space="preserve">. The review revealed that 76 percent of </w:t>
      </w:r>
      <w:r w:rsidR="00B66AED">
        <w:t xml:space="preserve">the nearly 1400 </w:t>
      </w:r>
      <w:r w:rsidR="00B66AED" w:rsidRPr="00A87CA7">
        <w:t xml:space="preserve">concurrent enrollment instructors presently teaching in high schools across the state need anywhere from one to 18 graduate-level credits within the discipline they teach. </w:t>
      </w:r>
      <w:r w:rsidR="00115B48">
        <w:t xml:space="preserve"> M</w:t>
      </w:r>
      <w:r w:rsidR="00B66AED">
        <w:t xml:space="preserve">innesota State submitted an </w:t>
      </w:r>
      <w:r w:rsidR="00B66AED" w:rsidRPr="00DE649C">
        <w:t>application</w:t>
      </w:r>
      <w:r w:rsidR="00B66AED">
        <w:t xml:space="preserve"> for extension to the Higher Learning Commission</w:t>
      </w:r>
      <w:r w:rsidR="00B66AED" w:rsidRPr="00DE649C">
        <w:t xml:space="preserve"> on behalf of all of our coll</w:t>
      </w:r>
      <w:r w:rsidR="00B66AED">
        <w:t xml:space="preserve">eges and universities on December 2, 2016.  </w:t>
      </w:r>
    </w:p>
    <w:p w:rsidR="00B66AED" w:rsidRPr="00B66AED" w:rsidRDefault="00433060" w:rsidP="00B66AED">
      <w:r w:rsidRPr="00433060">
        <w:rPr>
          <w:rFonts w:asciiTheme="majorHAnsi" w:eastAsia="Calibri" w:hAnsiTheme="majorHAnsi" w:cs="Calibri"/>
          <w:bCs/>
          <w:noProof/>
          <w:color w:val="009F4D"/>
          <w:position w:val="1"/>
          <w:sz w:val="24"/>
          <w:szCs w:val="24"/>
        </w:rPr>
        <w:drawing>
          <wp:inline distT="0" distB="0" distL="0" distR="0" wp14:anchorId="57A38585" wp14:editId="3746242C">
            <wp:extent cx="235479" cy="238125"/>
            <wp:effectExtent l="0" t="0" r="0" b="0"/>
            <wp:docPr id="3" name="Picture 3" descr="C:\Users\km6652ea\Desktop\checkbox-303113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6652ea\Desktop\checkbox-303113_960_7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241" cy="253053"/>
                    </a:xfrm>
                    <a:prstGeom prst="rect">
                      <a:avLst/>
                    </a:prstGeom>
                    <a:noFill/>
                    <a:ln>
                      <a:noFill/>
                    </a:ln>
                  </pic:spPr>
                </pic:pic>
              </a:graphicData>
            </a:graphic>
          </wp:inline>
        </w:drawing>
      </w:r>
      <w:r>
        <w:t xml:space="preserve"> </w:t>
      </w:r>
      <w:r w:rsidR="00B464B9">
        <w:tab/>
      </w:r>
      <w:r w:rsidR="00B66AED">
        <w:t>On December 19</w:t>
      </w:r>
      <w:r w:rsidR="00B66AED" w:rsidRPr="002A7C99">
        <w:rPr>
          <w:vertAlign w:val="superscript"/>
        </w:rPr>
        <w:t>th</w:t>
      </w:r>
      <w:r w:rsidR="00B66AED">
        <w:t xml:space="preserve">, </w:t>
      </w:r>
      <w:r w:rsidR="00B66AED" w:rsidRPr="00B66AED">
        <w:rPr>
          <w:b/>
        </w:rPr>
        <w:t xml:space="preserve">Minnesota State received approval for the extension from the Higher Learning Commission </w:t>
      </w:r>
      <w:r w:rsidR="00B66AED" w:rsidRPr="002A7C99">
        <w:t>relative to the credentialing of high school faculty teaching within our concurrent enrollment programs.  The approval gives each college or university within Minnesota State that offers concurrent enrollment programming the five additional years requested (until September 1, 2022) to ensure that all</w:t>
      </w:r>
      <w:r w:rsidR="00115B48">
        <w:t xml:space="preserve"> current and new</w:t>
      </w:r>
      <w:r w:rsidR="00B66AED" w:rsidRPr="002A7C99">
        <w:t xml:space="preserve"> high school faculty teaching within concurrent enrollment programs meet the HLC</w:t>
      </w:r>
      <w:r w:rsidR="00B66AED">
        <w:t xml:space="preserve"> requirements </w:t>
      </w:r>
      <w:r w:rsidR="00B66AED" w:rsidRPr="002A7C99">
        <w:t xml:space="preserve">relating to qualifications for faculty providing dual credit instruction.  </w:t>
      </w:r>
    </w:p>
    <w:p w:rsidR="00B66AED" w:rsidRPr="00DE649C" w:rsidRDefault="00433060" w:rsidP="00B66AED">
      <w:r w:rsidRPr="00433060">
        <w:rPr>
          <w:rFonts w:asciiTheme="majorHAnsi" w:eastAsia="Calibri" w:hAnsiTheme="majorHAnsi" w:cs="Calibri"/>
          <w:bCs/>
          <w:noProof/>
          <w:color w:val="009F4D"/>
          <w:position w:val="1"/>
          <w:sz w:val="24"/>
          <w:szCs w:val="24"/>
        </w:rPr>
        <w:drawing>
          <wp:inline distT="0" distB="0" distL="0" distR="0" wp14:anchorId="2EFD0730" wp14:editId="3C099B99">
            <wp:extent cx="235479" cy="238125"/>
            <wp:effectExtent l="0" t="0" r="0" b="0"/>
            <wp:docPr id="4" name="Picture 4" descr="C:\Users\km6652ea\Desktop\checkbox-303113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6652ea\Desktop\checkbox-303113_960_7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241" cy="253053"/>
                    </a:xfrm>
                    <a:prstGeom prst="rect">
                      <a:avLst/>
                    </a:prstGeom>
                    <a:noFill/>
                    <a:ln>
                      <a:noFill/>
                    </a:ln>
                  </pic:spPr>
                </pic:pic>
              </a:graphicData>
            </a:graphic>
          </wp:inline>
        </w:drawing>
      </w:r>
      <w:r>
        <w:t xml:space="preserve"> </w:t>
      </w:r>
      <w:r w:rsidR="00B464B9">
        <w:tab/>
      </w:r>
      <w:r w:rsidR="00B66AED">
        <w:t xml:space="preserve">In the fall of 2016, </w:t>
      </w:r>
      <w:r w:rsidR="00B66AED" w:rsidRPr="00B66AED">
        <w:rPr>
          <w:b/>
        </w:rPr>
        <w:t>Education Minnesota, the Minnesota State College Faculty (MSCF), the Inter Faculty Organization (IFO), and Minnesota State joined together to move forward a comprehensive plan to support the vitality of high quality concurrent enrollment programs and to assist concurrent enrollment instructors in meeting minimum faculty qualification requirements.</w:t>
      </w:r>
      <w:r w:rsidR="00B66AED">
        <w:t xml:space="preserve"> </w:t>
      </w:r>
    </w:p>
    <w:p w:rsidR="00B66AED" w:rsidRPr="00DE649C" w:rsidRDefault="00B66AED" w:rsidP="00B66AED">
      <w:r>
        <w:t xml:space="preserve">This comprehensive plan to address minimum faculty qualifications </w:t>
      </w:r>
      <w:r w:rsidRPr="00DE649C">
        <w:t>contains six key focal points:</w:t>
      </w:r>
    </w:p>
    <w:p w:rsidR="00B66AED" w:rsidRPr="00433060" w:rsidRDefault="00B66AED" w:rsidP="00B66AED">
      <w:pPr>
        <w:numPr>
          <w:ilvl w:val="0"/>
          <w:numId w:val="5"/>
        </w:numPr>
        <w:spacing w:after="160" w:line="259" w:lineRule="auto"/>
        <w:rPr>
          <w:color w:val="1F497D" w:themeColor="text2"/>
        </w:rPr>
      </w:pPr>
      <w:r w:rsidRPr="00DE649C">
        <w:t xml:space="preserve">Create processes that support concurrent enrollment instructors in meeting the </w:t>
      </w:r>
      <w:r>
        <w:t>credentialing standards by 2022</w:t>
      </w:r>
      <w:r w:rsidRPr="00DE649C">
        <w:t xml:space="preserve">. </w:t>
      </w:r>
      <w:r w:rsidR="00433060">
        <w:t xml:space="preserve"> </w:t>
      </w:r>
      <w:r w:rsidR="00433060" w:rsidRPr="00433060">
        <w:rPr>
          <w:color w:val="1F497D" w:themeColor="text2"/>
        </w:rPr>
        <w:t>IN PROGRESS</w:t>
      </w:r>
    </w:p>
    <w:p w:rsidR="00B66AED" w:rsidRPr="00433060" w:rsidRDefault="00946D76" w:rsidP="00B66AED">
      <w:pPr>
        <w:numPr>
          <w:ilvl w:val="0"/>
          <w:numId w:val="5"/>
        </w:numPr>
        <w:spacing w:after="160" w:line="259" w:lineRule="auto"/>
        <w:rPr>
          <w:color w:val="1F497D" w:themeColor="text2"/>
        </w:rPr>
      </w:pPr>
      <w:hyperlink r:id="rId9" w:history="1">
        <w:r w:rsidR="00B66AED" w:rsidRPr="00433060">
          <w:rPr>
            <w:rStyle w:val="Hyperlink"/>
          </w:rPr>
          <w:t>Create pathways</w:t>
        </w:r>
      </w:hyperlink>
      <w:r w:rsidR="00B66AED" w:rsidRPr="00B66AED">
        <w:t xml:space="preserve"> to support concurrent enrollment instructors to meet the minimum faculty requirement standards,</w:t>
      </w:r>
      <w:r w:rsidR="00B66AED" w:rsidRPr="00DE649C">
        <w:t xml:space="preserve"> including pathways that offer graduate-level, discipline-specific courses; and offer </w:t>
      </w:r>
      <w:r w:rsidR="00B66AED" w:rsidRPr="00DE649C">
        <w:lastRenderedPageBreak/>
        <w:t xml:space="preserve">master of education degree programs that allow for 18 credits of discipline-specific content. </w:t>
      </w:r>
      <w:r w:rsidR="00433060">
        <w:t xml:space="preserve"> </w:t>
      </w:r>
      <w:r w:rsidR="00433060" w:rsidRPr="00433060">
        <w:rPr>
          <w:color w:val="1F497D" w:themeColor="text2"/>
        </w:rPr>
        <w:t>IN PROGRESS</w:t>
      </w:r>
    </w:p>
    <w:p w:rsidR="00B66AED" w:rsidRDefault="00B66AED" w:rsidP="00B66AED">
      <w:pPr>
        <w:numPr>
          <w:ilvl w:val="0"/>
          <w:numId w:val="5"/>
        </w:numPr>
        <w:spacing w:after="160" w:line="259" w:lineRule="auto"/>
      </w:pPr>
      <w:r w:rsidRPr="00DE649C">
        <w:t>Provide opportunities and processes to award graduate-level credit to high school teachers who elect to demonstrate graduate-level learning and experience through a portfolio evaluation process</w:t>
      </w:r>
      <w:r w:rsidR="00115B48">
        <w:t>.</w:t>
      </w:r>
      <w:r w:rsidR="00115B48" w:rsidRPr="00115B48">
        <w:rPr>
          <w:color w:val="1F497D" w:themeColor="text2"/>
        </w:rPr>
        <w:t xml:space="preserve"> I</w:t>
      </w:r>
      <w:r w:rsidR="00433060" w:rsidRPr="00115B48">
        <w:rPr>
          <w:color w:val="1F497D" w:themeColor="text2"/>
        </w:rPr>
        <w:t xml:space="preserve">N </w:t>
      </w:r>
      <w:r w:rsidR="00433060" w:rsidRPr="00433060">
        <w:rPr>
          <w:color w:val="1F497D" w:themeColor="text2"/>
        </w:rPr>
        <w:t>PROGRESS</w:t>
      </w:r>
    </w:p>
    <w:p w:rsidR="00B66AED" w:rsidRPr="00DE649C" w:rsidRDefault="00B66AED" w:rsidP="00B66AED">
      <w:pPr>
        <w:numPr>
          <w:ilvl w:val="0"/>
          <w:numId w:val="5"/>
        </w:numPr>
        <w:spacing w:after="160" w:line="259" w:lineRule="auto"/>
      </w:pPr>
      <w:r w:rsidRPr="00DE649C">
        <w:t xml:space="preserve">Offer the option for concurrent enrollment instructors and college or university faculty members to team-teach concurrent enrollment courses. </w:t>
      </w:r>
      <w:r w:rsidR="00433060">
        <w:t xml:space="preserve"> </w:t>
      </w:r>
      <w:r w:rsidR="00115B48">
        <w:rPr>
          <w:color w:val="1F497D" w:themeColor="text2"/>
        </w:rPr>
        <w:t>EXPLORING</w:t>
      </w:r>
    </w:p>
    <w:p w:rsidR="00B66AED" w:rsidRPr="00DE649C" w:rsidRDefault="00B66AED" w:rsidP="00B66AED">
      <w:pPr>
        <w:numPr>
          <w:ilvl w:val="0"/>
          <w:numId w:val="5"/>
        </w:numPr>
        <w:spacing w:after="160" w:line="259" w:lineRule="auto"/>
      </w:pPr>
      <w:r w:rsidRPr="00DE649C">
        <w:t xml:space="preserve">Work collaboratively with other stakeholders and organizations to create processes and approaches to support concurrent enrollment instructors in meeting the minimum faculty qualification on an ongoing and sustainable basis. </w:t>
      </w:r>
      <w:r w:rsidR="00433060" w:rsidRPr="00433060">
        <w:rPr>
          <w:color w:val="1F497D" w:themeColor="text2"/>
        </w:rPr>
        <w:t>IN PROGRESS</w:t>
      </w:r>
    </w:p>
    <w:p w:rsidR="00B66AED" w:rsidRPr="00DE649C" w:rsidRDefault="00B66AED" w:rsidP="00B66AED">
      <w:pPr>
        <w:numPr>
          <w:ilvl w:val="0"/>
          <w:numId w:val="5"/>
        </w:numPr>
        <w:spacing w:after="160" w:line="259" w:lineRule="auto"/>
      </w:pPr>
      <w:r w:rsidRPr="00DE649C">
        <w:t xml:space="preserve">Work with the State of Minnesota to seek options and resources to support the long-term sustainability of concurrent enrollment programs and to support concurrent enrollment instructors in meeting the minimum faculty qualification standards. </w:t>
      </w:r>
      <w:r w:rsidR="00433060">
        <w:rPr>
          <w:color w:val="1F497D" w:themeColor="text2"/>
        </w:rPr>
        <w:t xml:space="preserve"> </w:t>
      </w:r>
      <w:r w:rsidR="00433060" w:rsidRPr="00433060">
        <w:rPr>
          <w:color w:val="1F497D" w:themeColor="text2"/>
        </w:rPr>
        <w:t>IN PROGRESS</w:t>
      </w:r>
    </w:p>
    <w:p w:rsidR="00B66AED" w:rsidRDefault="00433060" w:rsidP="00B66AED">
      <w:r w:rsidRPr="00433060">
        <w:rPr>
          <w:rFonts w:asciiTheme="majorHAnsi" w:eastAsia="Calibri" w:hAnsiTheme="majorHAnsi" w:cs="Calibri"/>
          <w:bCs/>
          <w:noProof/>
          <w:color w:val="009F4D"/>
          <w:position w:val="1"/>
          <w:sz w:val="24"/>
          <w:szCs w:val="24"/>
        </w:rPr>
        <w:drawing>
          <wp:inline distT="0" distB="0" distL="0" distR="0" wp14:anchorId="2E10CF61" wp14:editId="55F07D80">
            <wp:extent cx="235479" cy="238125"/>
            <wp:effectExtent l="0" t="0" r="0" b="0"/>
            <wp:docPr id="5" name="Picture 5" descr="C:\Users\km6652ea\Desktop\checkbox-303113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6652ea\Desktop\checkbox-303113_960_7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241" cy="253053"/>
                    </a:xfrm>
                    <a:prstGeom prst="rect">
                      <a:avLst/>
                    </a:prstGeom>
                    <a:noFill/>
                    <a:ln>
                      <a:noFill/>
                    </a:ln>
                  </pic:spPr>
                </pic:pic>
              </a:graphicData>
            </a:graphic>
          </wp:inline>
        </w:drawing>
      </w:r>
      <w:r>
        <w:tab/>
      </w:r>
      <w:r w:rsidR="00B66AED">
        <w:t>T</w:t>
      </w:r>
      <w:r w:rsidR="00B66AED" w:rsidRPr="00DE649C">
        <w:t>his plan</w:t>
      </w:r>
      <w:r w:rsidR="00B66AED">
        <w:t xml:space="preserve"> has been shared</w:t>
      </w:r>
      <w:r w:rsidR="00B66AED" w:rsidRPr="00DE649C">
        <w:t xml:space="preserve"> with Minnesota State campuses, local concurrent enrollment advisory boards, and other stakeholders, including both higher education and secondary stakeholders</w:t>
      </w:r>
      <w:r>
        <w:t xml:space="preserve"> for review and input</w:t>
      </w:r>
      <w:r w:rsidR="00B66AED">
        <w:t xml:space="preserve">. </w:t>
      </w:r>
      <w:r>
        <w:t xml:space="preserve">We will </w:t>
      </w:r>
      <w:r w:rsidR="00B66AED" w:rsidRPr="00DE649C">
        <w:t xml:space="preserve">move into implementation of the plan in spring 2017 and we anticipate that various parts of the plan would be rolled out in the next few years as we continue to discuss the elements in detail and create processes to implement the elements of the plan. </w:t>
      </w:r>
    </w:p>
    <w:p w:rsidR="00B66AED" w:rsidRDefault="00433060" w:rsidP="00B66AED">
      <w:r w:rsidRPr="00433060">
        <w:rPr>
          <w:rFonts w:asciiTheme="majorHAnsi" w:eastAsia="Calibri" w:hAnsiTheme="majorHAnsi" w:cs="Calibri"/>
          <w:bCs/>
          <w:noProof/>
          <w:color w:val="009F4D"/>
          <w:position w:val="1"/>
          <w:sz w:val="24"/>
          <w:szCs w:val="24"/>
        </w:rPr>
        <w:drawing>
          <wp:inline distT="0" distB="0" distL="0" distR="0" wp14:anchorId="53894814" wp14:editId="549F0BBE">
            <wp:extent cx="235479" cy="238125"/>
            <wp:effectExtent l="0" t="0" r="0" b="0"/>
            <wp:docPr id="6" name="Picture 6" descr="C:\Users\km6652ea\Desktop\checkbox-303113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6652ea\Desktop\checkbox-303113_960_7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241" cy="253053"/>
                    </a:xfrm>
                    <a:prstGeom prst="rect">
                      <a:avLst/>
                    </a:prstGeom>
                    <a:noFill/>
                    <a:ln>
                      <a:noFill/>
                    </a:ln>
                  </pic:spPr>
                </pic:pic>
              </a:graphicData>
            </a:graphic>
          </wp:inline>
        </w:drawing>
      </w:r>
      <w:r>
        <w:tab/>
      </w:r>
      <w:r w:rsidR="00B66AED" w:rsidRPr="00854F2B">
        <w:t xml:space="preserve">Minnesota State universities are currently designing graduate coursework and programs that provide for discipline-specific content that will be available in formats that meet the needs of working professionals across the state (online, cohorts, summer, etc.). Visit the Minnesota State concurrent enrollment website for an updated list of courses and programs available at Minnesota State universities.  </w:t>
      </w:r>
    </w:p>
    <w:p w:rsidR="00B66AED" w:rsidRPr="00115B48" w:rsidRDefault="00B66AED" w:rsidP="00B66AED">
      <w:pPr>
        <w:rPr>
          <w:color w:val="1F497D" w:themeColor="text2"/>
        </w:rPr>
      </w:pPr>
      <w:r w:rsidRPr="00115B48">
        <w:rPr>
          <w:b/>
          <w:bCs/>
          <w:color w:val="1F497D" w:themeColor="text2"/>
        </w:rPr>
        <w:t>Concurrent Enrollment Advisory Boards</w:t>
      </w:r>
    </w:p>
    <w:p w:rsidR="00B66AED" w:rsidRDefault="00115B48" w:rsidP="00115B48">
      <w:pPr>
        <w:spacing w:after="160" w:line="259" w:lineRule="auto"/>
      </w:pPr>
      <w:r w:rsidRPr="00433060">
        <w:rPr>
          <w:rFonts w:asciiTheme="majorHAnsi" w:eastAsia="Calibri" w:hAnsiTheme="majorHAnsi" w:cs="Calibri"/>
          <w:bCs/>
          <w:noProof/>
          <w:color w:val="009F4D"/>
          <w:position w:val="1"/>
          <w:sz w:val="24"/>
          <w:szCs w:val="24"/>
        </w:rPr>
        <w:drawing>
          <wp:inline distT="0" distB="0" distL="0" distR="0" wp14:anchorId="36B4230B" wp14:editId="37B11BDD">
            <wp:extent cx="235479" cy="238125"/>
            <wp:effectExtent l="0" t="0" r="0" b="0"/>
            <wp:docPr id="8" name="Picture 8" descr="C:\Users\km6652ea\Desktop\checkbox-303113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6652ea\Desktop\checkbox-303113_960_7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241" cy="253053"/>
                    </a:xfrm>
                    <a:prstGeom prst="rect">
                      <a:avLst/>
                    </a:prstGeom>
                    <a:noFill/>
                    <a:ln>
                      <a:noFill/>
                    </a:ln>
                  </pic:spPr>
                </pic:pic>
              </a:graphicData>
            </a:graphic>
          </wp:inline>
        </w:drawing>
      </w:r>
      <w:r>
        <w:t xml:space="preserve"> </w:t>
      </w:r>
      <w:r w:rsidR="00130303">
        <w:tab/>
      </w:r>
      <w:r>
        <w:t>As a result of legislation passed in 2015, a</w:t>
      </w:r>
      <w:r w:rsidR="00B66AED" w:rsidRPr="00DE649C">
        <w:t xml:space="preserve">ll Minnesota State </w:t>
      </w:r>
      <w:r>
        <w:t xml:space="preserve">concurrent enrollment </w:t>
      </w:r>
      <w:r w:rsidR="00B66AED" w:rsidRPr="00DE649C">
        <w:t xml:space="preserve">programs now have local advisory boards in place. Currently there are </w:t>
      </w:r>
      <w:r w:rsidR="00B66AED" w:rsidRPr="006A02BB">
        <w:rPr>
          <w:b/>
          <w:u w:val="single"/>
        </w:rPr>
        <w:t>249 secondary members</w:t>
      </w:r>
      <w:r w:rsidR="00B66AED" w:rsidRPr="00DE649C">
        <w:t xml:space="preserve"> and 158 postsecondary members on these advisory boards. </w:t>
      </w:r>
    </w:p>
    <w:p w:rsidR="00115B48" w:rsidRPr="00DE649C" w:rsidRDefault="00115B48" w:rsidP="00115B48">
      <w:r w:rsidRPr="00433060">
        <w:rPr>
          <w:rFonts w:asciiTheme="majorHAnsi" w:eastAsia="Calibri" w:hAnsiTheme="majorHAnsi" w:cs="Calibri"/>
          <w:bCs/>
          <w:noProof/>
          <w:color w:val="009F4D"/>
          <w:position w:val="1"/>
          <w:sz w:val="24"/>
          <w:szCs w:val="24"/>
        </w:rPr>
        <w:drawing>
          <wp:inline distT="0" distB="0" distL="0" distR="0" wp14:anchorId="585C1924" wp14:editId="603D5B09">
            <wp:extent cx="235479" cy="238125"/>
            <wp:effectExtent l="0" t="0" r="0" b="0"/>
            <wp:docPr id="7" name="Picture 7" descr="C:\Users\km6652ea\Desktop\checkbox-303113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6652ea\Desktop\checkbox-303113_960_7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241" cy="253053"/>
                    </a:xfrm>
                    <a:prstGeom prst="rect">
                      <a:avLst/>
                    </a:prstGeom>
                    <a:noFill/>
                    <a:ln>
                      <a:noFill/>
                    </a:ln>
                  </pic:spPr>
                </pic:pic>
              </a:graphicData>
            </a:graphic>
          </wp:inline>
        </w:drawing>
      </w:r>
      <w:r>
        <w:tab/>
      </w:r>
      <w:r w:rsidRPr="00DE649C">
        <w:t xml:space="preserve">Minnesota State is working collaboratively with faculty and administrative leadership across K-12 and higher education, and with local Concurrent Enrollment Advisory </w:t>
      </w:r>
      <w:r>
        <w:t xml:space="preserve">boards </w:t>
      </w:r>
      <w:r w:rsidRPr="00DE649C">
        <w:t>to address</w:t>
      </w:r>
      <w:r>
        <w:t xml:space="preserve"> this and other</w:t>
      </w:r>
      <w:r w:rsidRPr="00DE649C">
        <w:t xml:space="preserve"> important concurrent enrollment issues.</w:t>
      </w:r>
      <w:r>
        <w:t xml:space="preserve"> </w:t>
      </w:r>
    </w:p>
    <w:p w:rsidR="00433060" w:rsidRPr="00DE649C" w:rsidRDefault="00433060" w:rsidP="00433060">
      <w:pPr>
        <w:spacing w:after="160" w:line="259" w:lineRule="auto"/>
        <w:ind w:left="720"/>
      </w:pPr>
    </w:p>
    <w:p w:rsidR="00433060" w:rsidRPr="00DE649C" w:rsidRDefault="00433060" w:rsidP="00433060">
      <w:pPr>
        <w:jc w:val="center"/>
      </w:pPr>
      <w:r w:rsidRPr="00433060">
        <w:rPr>
          <w:b/>
          <w:color w:val="1F497D" w:themeColor="text2"/>
        </w:rPr>
        <w:t>Minnesota State is committed to supporting high quality, sustainable concurrent enrollment opportunities for all Minnesota students, as it makes a college education more accessible, more affordable, and decreases time to degree completion</w:t>
      </w:r>
      <w:r w:rsidRPr="0064322B">
        <w:t>.</w:t>
      </w:r>
    </w:p>
    <w:p w:rsidR="00162059" w:rsidRDefault="00162059" w:rsidP="007E5622">
      <w:pPr>
        <w:spacing w:after="0"/>
        <w:rPr>
          <w:rFonts w:asciiTheme="majorHAnsi" w:eastAsia="Calibri" w:hAnsiTheme="majorHAnsi" w:cs="Calibri"/>
          <w:bCs/>
          <w:color w:val="009F4D"/>
          <w:position w:val="1"/>
          <w:sz w:val="24"/>
          <w:szCs w:val="24"/>
        </w:rPr>
      </w:pPr>
    </w:p>
    <w:sectPr w:rsidR="00162059" w:rsidSect="00252495">
      <w:footerReference w:type="default" r:id="rId10"/>
      <w:headerReference w:type="first" r:id="rId11"/>
      <w:footerReference w:type="first" r:id="rId12"/>
      <w:pgSz w:w="12240" w:h="15840"/>
      <w:pgMar w:top="1440" w:right="1440" w:bottom="1440" w:left="1440" w:header="144"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D76" w:rsidRDefault="00946D76" w:rsidP="000D19F8">
      <w:r>
        <w:separator/>
      </w:r>
    </w:p>
  </w:endnote>
  <w:endnote w:type="continuationSeparator" w:id="0">
    <w:p w:rsidR="00946D76" w:rsidRDefault="00946D76" w:rsidP="000D1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726" w:rsidRPr="0000654F" w:rsidRDefault="003D7726" w:rsidP="003D7726">
    <w:pPr>
      <w:pStyle w:val="Footer"/>
      <w:spacing w:after="0" w:line="240" w:lineRule="auto"/>
      <w:rPr>
        <w:rFonts w:ascii="Calibri" w:hAnsi="Calibri"/>
        <w:b/>
        <w:i/>
        <w:sz w:val="20"/>
        <w:szCs w:val="20"/>
      </w:rPr>
    </w:pPr>
    <w:r>
      <w:rPr>
        <w:rFonts w:ascii="Calibri" w:hAnsi="Calibri"/>
        <w:b/>
        <w:sz w:val="20"/>
        <w:szCs w:val="20"/>
      </w:rPr>
      <w:t>Concurrent Enrollment Update</w:t>
    </w:r>
    <w:r w:rsidRPr="0000654F">
      <w:rPr>
        <w:rFonts w:ascii="Calibri" w:hAnsi="Calibri"/>
        <w:b/>
        <w:i/>
        <w:sz w:val="20"/>
        <w:szCs w:val="20"/>
      </w:rPr>
      <w:tab/>
    </w:r>
    <w:r w:rsidRPr="0000654F">
      <w:rPr>
        <w:rFonts w:ascii="Calibri" w:hAnsi="Calibri"/>
        <w:b/>
        <w:i/>
        <w:sz w:val="20"/>
        <w:szCs w:val="20"/>
      </w:rPr>
      <w:tab/>
    </w:r>
    <w:r w:rsidR="00433060">
      <w:rPr>
        <w:rFonts w:ascii="Calibri" w:hAnsi="Calibri"/>
        <w:b/>
        <w:i/>
        <w:sz w:val="20"/>
        <w:szCs w:val="20"/>
      </w:rPr>
      <w:t>January 2017</w:t>
    </w:r>
  </w:p>
  <w:p w:rsidR="003D7726" w:rsidRPr="0000654F" w:rsidRDefault="003D7726" w:rsidP="003D7726">
    <w:pPr>
      <w:pStyle w:val="Footer"/>
      <w:spacing w:after="0" w:line="240" w:lineRule="auto"/>
      <w:rPr>
        <w:rFonts w:ascii="Calibri" w:hAnsi="Calibri"/>
        <w:i/>
        <w:sz w:val="20"/>
        <w:szCs w:val="20"/>
      </w:rPr>
    </w:pPr>
    <w:r>
      <w:rPr>
        <w:rFonts w:ascii="Calibri" w:hAnsi="Calibri"/>
        <w:i/>
        <w:sz w:val="20"/>
        <w:szCs w:val="20"/>
      </w:rPr>
      <w:t>Academic and Student Affairs</w:t>
    </w:r>
  </w:p>
  <w:p w:rsidR="003D7726" w:rsidRPr="00E25183" w:rsidRDefault="003D7726" w:rsidP="003D7726">
    <w:pPr>
      <w:pStyle w:val="Footer"/>
      <w:spacing w:after="0" w:line="240" w:lineRule="auto"/>
      <w:rPr>
        <w:rFonts w:cs="Arial"/>
        <w:i/>
        <w:sz w:val="20"/>
        <w:szCs w:val="20"/>
      </w:rPr>
    </w:pPr>
  </w:p>
  <w:p w:rsidR="003D7726" w:rsidRDefault="003D7726" w:rsidP="003D7726">
    <w:pPr>
      <w:pStyle w:val="Footer"/>
      <w:spacing w:after="0" w:line="240" w:lineRule="auto"/>
      <w:jc w:val="center"/>
      <w:rPr>
        <w:rFonts w:ascii="Calibri" w:hAnsi="Calibri" w:cs="Times New Roman"/>
        <w:i/>
        <w:sz w:val="20"/>
        <w:szCs w:val="20"/>
      </w:rPr>
    </w:pPr>
    <w:r w:rsidRPr="00226A0C">
      <w:rPr>
        <w:rFonts w:ascii="Calibri" w:hAnsi="Calibri" w:cs="Times New Roman"/>
        <w:i/>
        <w:sz w:val="20"/>
        <w:szCs w:val="20"/>
      </w:rPr>
      <w:t>Minnesota State is an Equal Opportunity Employer and Educator</w:t>
    </w:r>
  </w:p>
  <w:p w:rsidR="003D7726" w:rsidRDefault="003D77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85D" w:rsidRPr="0000654F" w:rsidRDefault="003D7726" w:rsidP="0037785D">
    <w:pPr>
      <w:pStyle w:val="Footer"/>
      <w:spacing w:after="0" w:line="240" w:lineRule="auto"/>
      <w:rPr>
        <w:rFonts w:ascii="Calibri" w:hAnsi="Calibri"/>
        <w:b/>
        <w:i/>
        <w:sz w:val="20"/>
        <w:szCs w:val="20"/>
      </w:rPr>
    </w:pPr>
    <w:r>
      <w:rPr>
        <w:rFonts w:ascii="Calibri" w:hAnsi="Calibri"/>
        <w:b/>
        <w:sz w:val="20"/>
        <w:szCs w:val="20"/>
      </w:rPr>
      <w:t>Concurrent Enrollment U</w:t>
    </w:r>
    <w:r w:rsidR="000064DA">
      <w:rPr>
        <w:rFonts w:ascii="Calibri" w:hAnsi="Calibri"/>
        <w:b/>
        <w:sz w:val="20"/>
        <w:szCs w:val="20"/>
      </w:rPr>
      <w:t>pdate</w:t>
    </w:r>
    <w:r w:rsidR="0037785D" w:rsidRPr="0000654F">
      <w:rPr>
        <w:rFonts w:ascii="Calibri" w:hAnsi="Calibri"/>
        <w:b/>
        <w:i/>
        <w:sz w:val="20"/>
        <w:szCs w:val="20"/>
      </w:rPr>
      <w:tab/>
    </w:r>
    <w:r w:rsidR="0037785D" w:rsidRPr="0000654F">
      <w:rPr>
        <w:rFonts w:ascii="Calibri" w:hAnsi="Calibri"/>
        <w:b/>
        <w:i/>
        <w:sz w:val="20"/>
        <w:szCs w:val="20"/>
      </w:rPr>
      <w:tab/>
    </w:r>
    <w:r w:rsidR="002915BF">
      <w:rPr>
        <w:rFonts w:ascii="Calibri" w:hAnsi="Calibri"/>
        <w:b/>
        <w:i/>
        <w:sz w:val="20"/>
        <w:szCs w:val="20"/>
      </w:rPr>
      <w:t>January</w:t>
    </w:r>
    <w:r>
      <w:rPr>
        <w:rFonts w:ascii="Calibri" w:hAnsi="Calibri"/>
        <w:b/>
        <w:i/>
        <w:sz w:val="20"/>
        <w:szCs w:val="20"/>
      </w:rPr>
      <w:t xml:space="preserve"> </w:t>
    </w:r>
    <w:r w:rsidR="002915BF">
      <w:rPr>
        <w:rFonts w:ascii="Calibri" w:hAnsi="Calibri"/>
        <w:b/>
        <w:i/>
        <w:sz w:val="20"/>
        <w:szCs w:val="20"/>
      </w:rPr>
      <w:t>2017</w:t>
    </w:r>
  </w:p>
  <w:p w:rsidR="0037785D" w:rsidRPr="0000654F" w:rsidRDefault="000064DA" w:rsidP="0037785D">
    <w:pPr>
      <w:pStyle w:val="Footer"/>
      <w:spacing w:after="0" w:line="240" w:lineRule="auto"/>
      <w:rPr>
        <w:rFonts w:ascii="Calibri" w:hAnsi="Calibri"/>
        <w:i/>
        <w:sz w:val="20"/>
        <w:szCs w:val="20"/>
      </w:rPr>
    </w:pPr>
    <w:r>
      <w:rPr>
        <w:rFonts w:ascii="Calibri" w:hAnsi="Calibri"/>
        <w:i/>
        <w:sz w:val="20"/>
        <w:szCs w:val="20"/>
      </w:rPr>
      <w:t>Academic and Student Affairs</w:t>
    </w:r>
  </w:p>
  <w:p w:rsidR="0037785D" w:rsidRPr="00E25183" w:rsidRDefault="0037785D" w:rsidP="0037785D">
    <w:pPr>
      <w:pStyle w:val="Footer"/>
      <w:spacing w:after="0" w:line="240" w:lineRule="auto"/>
      <w:rPr>
        <w:rFonts w:cs="Arial"/>
        <w:i/>
        <w:sz w:val="20"/>
        <w:szCs w:val="20"/>
      </w:rPr>
    </w:pPr>
  </w:p>
  <w:p w:rsidR="0037785D" w:rsidRDefault="0037785D" w:rsidP="0037785D">
    <w:pPr>
      <w:pStyle w:val="Footer"/>
      <w:spacing w:after="0" w:line="240" w:lineRule="auto"/>
      <w:jc w:val="center"/>
      <w:rPr>
        <w:rFonts w:ascii="Calibri" w:hAnsi="Calibri" w:cs="Times New Roman"/>
        <w:i/>
        <w:sz w:val="20"/>
        <w:szCs w:val="20"/>
      </w:rPr>
    </w:pPr>
    <w:r w:rsidRPr="00226A0C">
      <w:rPr>
        <w:rFonts w:ascii="Calibri" w:hAnsi="Calibri" w:cs="Times New Roman"/>
        <w:i/>
        <w:sz w:val="20"/>
        <w:szCs w:val="20"/>
      </w:rPr>
      <w:t>Minnesota State is an Equal Opportunity Employer and Educator</w:t>
    </w:r>
  </w:p>
  <w:p w:rsidR="0037785D" w:rsidRPr="00226A0C" w:rsidRDefault="0037785D" w:rsidP="0037785D">
    <w:pPr>
      <w:pStyle w:val="Footer"/>
      <w:spacing w:after="0" w:line="240" w:lineRule="auto"/>
      <w:jc w:val="center"/>
      <w:rPr>
        <w:rFonts w:ascii="Calibri" w:hAnsi="Calibr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D76" w:rsidRDefault="00946D76" w:rsidP="000D19F8">
      <w:r>
        <w:separator/>
      </w:r>
    </w:p>
  </w:footnote>
  <w:footnote w:type="continuationSeparator" w:id="0">
    <w:p w:rsidR="00946D76" w:rsidRDefault="00946D76" w:rsidP="000D19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495" w:rsidRDefault="00252495">
    <w:pPr>
      <w:pStyle w:val="Header"/>
      <w:rPr>
        <w:noProof/>
      </w:rPr>
    </w:pPr>
  </w:p>
  <w:p w:rsidR="00252495" w:rsidRDefault="0037785D" w:rsidP="00252495">
    <w:pPr>
      <w:pStyle w:val="Header"/>
      <w:tabs>
        <w:tab w:val="clear" w:pos="4320"/>
        <w:tab w:val="clear" w:pos="8640"/>
        <w:tab w:val="left" w:pos="2856"/>
      </w:tabs>
      <w:rPr>
        <w:noProof/>
      </w:rPr>
    </w:pPr>
    <w:r>
      <w:rPr>
        <w:noProof/>
      </w:rPr>
      <w:drawing>
        <wp:anchor distT="0" distB="0" distL="114300" distR="114300" simplePos="0" relativeHeight="251659264" behindDoc="1" locked="1" layoutInCell="1" allowOverlap="1" wp14:anchorId="244371DA" wp14:editId="4A737B8E">
          <wp:simplePos x="0" y="0"/>
          <wp:positionH relativeFrom="page">
            <wp:align>left</wp:align>
          </wp:positionH>
          <wp:positionV relativeFrom="page">
            <wp:align>top</wp:align>
          </wp:positionV>
          <wp:extent cx="3886200" cy="208026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aderUpperLeft.png"/>
                  <pic:cNvPicPr/>
                </pic:nvPicPr>
                <pic:blipFill>
                  <a:blip r:embed="rId1">
                    <a:extLst>
                      <a:ext uri="{28A0092B-C50C-407E-A947-70E740481C1C}">
                        <a14:useLocalDpi xmlns:a14="http://schemas.microsoft.com/office/drawing/2010/main" val="0"/>
                      </a:ext>
                    </a:extLst>
                  </a:blip>
                  <a:stretch>
                    <a:fillRect/>
                  </a:stretch>
                </pic:blipFill>
                <pic:spPr>
                  <a:xfrm>
                    <a:off x="0" y="0"/>
                    <a:ext cx="3886200" cy="208026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r w:rsidR="00252495">
      <w:rPr>
        <w:noProof/>
      </w:rPr>
      <w:tab/>
    </w:r>
  </w:p>
  <w:p w:rsidR="00252495" w:rsidRDefault="002524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23C87"/>
    <w:multiLevelType w:val="hybridMultilevel"/>
    <w:tmpl w:val="76D8C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88040F"/>
    <w:multiLevelType w:val="hybridMultilevel"/>
    <w:tmpl w:val="DB1E8742"/>
    <w:lvl w:ilvl="0" w:tplc="6ECE435E">
      <w:start w:val="1"/>
      <w:numFmt w:val="bullet"/>
      <w:lvlText w:val="•"/>
      <w:lvlJc w:val="left"/>
      <w:pPr>
        <w:tabs>
          <w:tab w:val="num" w:pos="720"/>
        </w:tabs>
        <w:ind w:left="720" w:hanging="360"/>
      </w:pPr>
      <w:rPr>
        <w:rFonts w:ascii="Arial" w:hAnsi="Arial" w:hint="default"/>
      </w:rPr>
    </w:lvl>
    <w:lvl w:ilvl="1" w:tplc="F998E01E" w:tentative="1">
      <w:start w:val="1"/>
      <w:numFmt w:val="bullet"/>
      <w:lvlText w:val="•"/>
      <w:lvlJc w:val="left"/>
      <w:pPr>
        <w:tabs>
          <w:tab w:val="num" w:pos="1440"/>
        </w:tabs>
        <w:ind w:left="1440" w:hanging="360"/>
      </w:pPr>
      <w:rPr>
        <w:rFonts w:ascii="Arial" w:hAnsi="Arial" w:hint="default"/>
      </w:rPr>
    </w:lvl>
    <w:lvl w:ilvl="2" w:tplc="707E0498" w:tentative="1">
      <w:start w:val="1"/>
      <w:numFmt w:val="bullet"/>
      <w:lvlText w:val="•"/>
      <w:lvlJc w:val="left"/>
      <w:pPr>
        <w:tabs>
          <w:tab w:val="num" w:pos="2160"/>
        </w:tabs>
        <w:ind w:left="2160" w:hanging="360"/>
      </w:pPr>
      <w:rPr>
        <w:rFonts w:ascii="Arial" w:hAnsi="Arial" w:hint="default"/>
      </w:rPr>
    </w:lvl>
    <w:lvl w:ilvl="3" w:tplc="A094D954" w:tentative="1">
      <w:start w:val="1"/>
      <w:numFmt w:val="bullet"/>
      <w:lvlText w:val="•"/>
      <w:lvlJc w:val="left"/>
      <w:pPr>
        <w:tabs>
          <w:tab w:val="num" w:pos="2880"/>
        </w:tabs>
        <w:ind w:left="2880" w:hanging="360"/>
      </w:pPr>
      <w:rPr>
        <w:rFonts w:ascii="Arial" w:hAnsi="Arial" w:hint="default"/>
      </w:rPr>
    </w:lvl>
    <w:lvl w:ilvl="4" w:tplc="2960B670" w:tentative="1">
      <w:start w:val="1"/>
      <w:numFmt w:val="bullet"/>
      <w:lvlText w:val="•"/>
      <w:lvlJc w:val="left"/>
      <w:pPr>
        <w:tabs>
          <w:tab w:val="num" w:pos="3600"/>
        </w:tabs>
        <w:ind w:left="3600" w:hanging="360"/>
      </w:pPr>
      <w:rPr>
        <w:rFonts w:ascii="Arial" w:hAnsi="Arial" w:hint="default"/>
      </w:rPr>
    </w:lvl>
    <w:lvl w:ilvl="5" w:tplc="5434D93A" w:tentative="1">
      <w:start w:val="1"/>
      <w:numFmt w:val="bullet"/>
      <w:lvlText w:val="•"/>
      <w:lvlJc w:val="left"/>
      <w:pPr>
        <w:tabs>
          <w:tab w:val="num" w:pos="4320"/>
        </w:tabs>
        <w:ind w:left="4320" w:hanging="360"/>
      </w:pPr>
      <w:rPr>
        <w:rFonts w:ascii="Arial" w:hAnsi="Arial" w:hint="default"/>
      </w:rPr>
    </w:lvl>
    <w:lvl w:ilvl="6" w:tplc="245C53C6" w:tentative="1">
      <w:start w:val="1"/>
      <w:numFmt w:val="bullet"/>
      <w:lvlText w:val="•"/>
      <w:lvlJc w:val="left"/>
      <w:pPr>
        <w:tabs>
          <w:tab w:val="num" w:pos="5040"/>
        </w:tabs>
        <w:ind w:left="5040" w:hanging="360"/>
      </w:pPr>
      <w:rPr>
        <w:rFonts w:ascii="Arial" w:hAnsi="Arial" w:hint="default"/>
      </w:rPr>
    </w:lvl>
    <w:lvl w:ilvl="7" w:tplc="62B416FC" w:tentative="1">
      <w:start w:val="1"/>
      <w:numFmt w:val="bullet"/>
      <w:lvlText w:val="•"/>
      <w:lvlJc w:val="left"/>
      <w:pPr>
        <w:tabs>
          <w:tab w:val="num" w:pos="5760"/>
        </w:tabs>
        <w:ind w:left="5760" w:hanging="360"/>
      </w:pPr>
      <w:rPr>
        <w:rFonts w:ascii="Arial" w:hAnsi="Arial" w:hint="default"/>
      </w:rPr>
    </w:lvl>
    <w:lvl w:ilvl="8" w:tplc="1F92727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4D87FDC"/>
    <w:multiLevelType w:val="hybridMultilevel"/>
    <w:tmpl w:val="D556E068"/>
    <w:lvl w:ilvl="0" w:tplc="96408074">
      <w:start w:val="1"/>
      <w:numFmt w:val="decimal"/>
      <w:pStyle w:val="TMListHead"/>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7B3057"/>
    <w:multiLevelType w:val="hybridMultilevel"/>
    <w:tmpl w:val="849490D8"/>
    <w:lvl w:ilvl="0" w:tplc="1E669EEE">
      <w:start w:val="1"/>
      <w:numFmt w:val="bullet"/>
      <w:lvlText w:val="•"/>
      <w:lvlJc w:val="left"/>
      <w:pPr>
        <w:tabs>
          <w:tab w:val="num" w:pos="720"/>
        </w:tabs>
        <w:ind w:left="720" w:hanging="360"/>
      </w:pPr>
      <w:rPr>
        <w:rFonts w:ascii="Arial" w:hAnsi="Arial" w:hint="default"/>
      </w:rPr>
    </w:lvl>
    <w:lvl w:ilvl="1" w:tplc="7FC67574" w:tentative="1">
      <w:start w:val="1"/>
      <w:numFmt w:val="bullet"/>
      <w:lvlText w:val="•"/>
      <w:lvlJc w:val="left"/>
      <w:pPr>
        <w:tabs>
          <w:tab w:val="num" w:pos="1440"/>
        </w:tabs>
        <w:ind w:left="1440" w:hanging="360"/>
      </w:pPr>
      <w:rPr>
        <w:rFonts w:ascii="Arial" w:hAnsi="Arial" w:hint="default"/>
      </w:rPr>
    </w:lvl>
    <w:lvl w:ilvl="2" w:tplc="48D0DDAC" w:tentative="1">
      <w:start w:val="1"/>
      <w:numFmt w:val="bullet"/>
      <w:lvlText w:val="•"/>
      <w:lvlJc w:val="left"/>
      <w:pPr>
        <w:tabs>
          <w:tab w:val="num" w:pos="2160"/>
        </w:tabs>
        <w:ind w:left="2160" w:hanging="360"/>
      </w:pPr>
      <w:rPr>
        <w:rFonts w:ascii="Arial" w:hAnsi="Arial" w:hint="default"/>
      </w:rPr>
    </w:lvl>
    <w:lvl w:ilvl="3" w:tplc="89AC0126" w:tentative="1">
      <w:start w:val="1"/>
      <w:numFmt w:val="bullet"/>
      <w:lvlText w:val="•"/>
      <w:lvlJc w:val="left"/>
      <w:pPr>
        <w:tabs>
          <w:tab w:val="num" w:pos="2880"/>
        </w:tabs>
        <w:ind w:left="2880" w:hanging="360"/>
      </w:pPr>
      <w:rPr>
        <w:rFonts w:ascii="Arial" w:hAnsi="Arial" w:hint="default"/>
      </w:rPr>
    </w:lvl>
    <w:lvl w:ilvl="4" w:tplc="758CF0EA" w:tentative="1">
      <w:start w:val="1"/>
      <w:numFmt w:val="bullet"/>
      <w:lvlText w:val="•"/>
      <w:lvlJc w:val="left"/>
      <w:pPr>
        <w:tabs>
          <w:tab w:val="num" w:pos="3600"/>
        </w:tabs>
        <w:ind w:left="3600" w:hanging="360"/>
      </w:pPr>
      <w:rPr>
        <w:rFonts w:ascii="Arial" w:hAnsi="Arial" w:hint="default"/>
      </w:rPr>
    </w:lvl>
    <w:lvl w:ilvl="5" w:tplc="FF421EDC" w:tentative="1">
      <w:start w:val="1"/>
      <w:numFmt w:val="bullet"/>
      <w:lvlText w:val="•"/>
      <w:lvlJc w:val="left"/>
      <w:pPr>
        <w:tabs>
          <w:tab w:val="num" w:pos="4320"/>
        </w:tabs>
        <w:ind w:left="4320" w:hanging="360"/>
      </w:pPr>
      <w:rPr>
        <w:rFonts w:ascii="Arial" w:hAnsi="Arial" w:hint="default"/>
      </w:rPr>
    </w:lvl>
    <w:lvl w:ilvl="6" w:tplc="4D088A26" w:tentative="1">
      <w:start w:val="1"/>
      <w:numFmt w:val="bullet"/>
      <w:lvlText w:val="•"/>
      <w:lvlJc w:val="left"/>
      <w:pPr>
        <w:tabs>
          <w:tab w:val="num" w:pos="5040"/>
        </w:tabs>
        <w:ind w:left="5040" w:hanging="360"/>
      </w:pPr>
      <w:rPr>
        <w:rFonts w:ascii="Arial" w:hAnsi="Arial" w:hint="default"/>
      </w:rPr>
    </w:lvl>
    <w:lvl w:ilvl="7" w:tplc="732844FE" w:tentative="1">
      <w:start w:val="1"/>
      <w:numFmt w:val="bullet"/>
      <w:lvlText w:val="•"/>
      <w:lvlJc w:val="left"/>
      <w:pPr>
        <w:tabs>
          <w:tab w:val="num" w:pos="5760"/>
        </w:tabs>
        <w:ind w:left="5760" w:hanging="360"/>
      </w:pPr>
      <w:rPr>
        <w:rFonts w:ascii="Arial" w:hAnsi="Arial" w:hint="default"/>
      </w:rPr>
    </w:lvl>
    <w:lvl w:ilvl="8" w:tplc="15827B1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7624749"/>
    <w:multiLevelType w:val="hybridMultilevel"/>
    <w:tmpl w:val="14D6A73C"/>
    <w:lvl w:ilvl="0" w:tplc="5A782652">
      <w:start w:val="1"/>
      <w:numFmt w:val="decimal"/>
      <w:lvlText w:val="%1."/>
      <w:lvlJc w:val="left"/>
      <w:pPr>
        <w:tabs>
          <w:tab w:val="num" w:pos="720"/>
        </w:tabs>
        <w:ind w:left="720" w:hanging="360"/>
      </w:pPr>
    </w:lvl>
    <w:lvl w:ilvl="1" w:tplc="77CADD64">
      <w:start w:val="1"/>
      <w:numFmt w:val="decimal"/>
      <w:lvlText w:val="%2."/>
      <w:lvlJc w:val="left"/>
      <w:pPr>
        <w:tabs>
          <w:tab w:val="num" w:pos="1440"/>
        </w:tabs>
        <w:ind w:left="1440" w:hanging="360"/>
      </w:pPr>
    </w:lvl>
    <w:lvl w:ilvl="2" w:tplc="EC8EABB4" w:tentative="1">
      <w:start w:val="1"/>
      <w:numFmt w:val="decimal"/>
      <w:lvlText w:val="%3."/>
      <w:lvlJc w:val="left"/>
      <w:pPr>
        <w:tabs>
          <w:tab w:val="num" w:pos="2160"/>
        </w:tabs>
        <w:ind w:left="2160" w:hanging="360"/>
      </w:pPr>
    </w:lvl>
    <w:lvl w:ilvl="3" w:tplc="CC00A790" w:tentative="1">
      <w:start w:val="1"/>
      <w:numFmt w:val="decimal"/>
      <w:lvlText w:val="%4."/>
      <w:lvlJc w:val="left"/>
      <w:pPr>
        <w:tabs>
          <w:tab w:val="num" w:pos="2880"/>
        </w:tabs>
        <w:ind w:left="2880" w:hanging="360"/>
      </w:pPr>
    </w:lvl>
    <w:lvl w:ilvl="4" w:tplc="EE46B7EE" w:tentative="1">
      <w:start w:val="1"/>
      <w:numFmt w:val="decimal"/>
      <w:lvlText w:val="%5."/>
      <w:lvlJc w:val="left"/>
      <w:pPr>
        <w:tabs>
          <w:tab w:val="num" w:pos="3600"/>
        </w:tabs>
        <w:ind w:left="3600" w:hanging="360"/>
      </w:pPr>
    </w:lvl>
    <w:lvl w:ilvl="5" w:tplc="A9304186" w:tentative="1">
      <w:start w:val="1"/>
      <w:numFmt w:val="decimal"/>
      <w:lvlText w:val="%6."/>
      <w:lvlJc w:val="left"/>
      <w:pPr>
        <w:tabs>
          <w:tab w:val="num" w:pos="4320"/>
        </w:tabs>
        <w:ind w:left="4320" w:hanging="360"/>
      </w:pPr>
    </w:lvl>
    <w:lvl w:ilvl="6" w:tplc="33DCFFA0" w:tentative="1">
      <w:start w:val="1"/>
      <w:numFmt w:val="decimal"/>
      <w:lvlText w:val="%7."/>
      <w:lvlJc w:val="left"/>
      <w:pPr>
        <w:tabs>
          <w:tab w:val="num" w:pos="5040"/>
        </w:tabs>
        <w:ind w:left="5040" w:hanging="360"/>
      </w:pPr>
    </w:lvl>
    <w:lvl w:ilvl="7" w:tplc="41DE3BC8" w:tentative="1">
      <w:start w:val="1"/>
      <w:numFmt w:val="decimal"/>
      <w:lvlText w:val="%8."/>
      <w:lvlJc w:val="left"/>
      <w:pPr>
        <w:tabs>
          <w:tab w:val="num" w:pos="5760"/>
        </w:tabs>
        <w:ind w:left="5760" w:hanging="360"/>
      </w:pPr>
    </w:lvl>
    <w:lvl w:ilvl="8" w:tplc="B1769BC4"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9EB"/>
    <w:rsid w:val="000064DA"/>
    <w:rsid w:val="0000654F"/>
    <w:rsid w:val="00093062"/>
    <w:rsid w:val="000D1544"/>
    <w:rsid w:val="000D19F8"/>
    <w:rsid w:val="001114F3"/>
    <w:rsid w:val="00115B48"/>
    <w:rsid w:val="001269D8"/>
    <w:rsid w:val="00130303"/>
    <w:rsid w:val="00162059"/>
    <w:rsid w:val="001A69EC"/>
    <w:rsid w:val="001F4EF3"/>
    <w:rsid w:val="0020117D"/>
    <w:rsid w:val="00226A0C"/>
    <w:rsid w:val="002447B0"/>
    <w:rsid w:val="00252495"/>
    <w:rsid w:val="002915BF"/>
    <w:rsid w:val="002B1563"/>
    <w:rsid w:val="003171F6"/>
    <w:rsid w:val="003254BF"/>
    <w:rsid w:val="00325F9A"/>
    <w:rsid w:val="0037785D"/>
    <w:rsid w:val="003D7726"/>
    <w:rsid w:val="00421559"/>
    <w:rsid w:val="004249EB"/>
    <w:rsid w:val="00433060"/>
    <w:rsid w:val="00434B4A"/>
    <w:rsid w:val="0045724D"/>
    <w:rsid w:val="004615EC"/>
    <w:rsid w:val="004B484E"/>
    <w:rsid w:val="004C1A4B"/>
    <w:rsid w:val="00555D43"/>
    <w:rsid w:val="005608B1"/>
    <w:rsid w:val="005C7416"/>
    <w:rsid w:val="005C7914"/>
    <w:rsid w:val="005D356D"/>
    <w:rsid w:val="005E5E15"/>
    <w:rsid w:val="00612D16"/>
    <w:rsid w:val="00616E29"/>
    <w:rsid w:val="00623C94"/>
    <w:rsid w:val="00684B4F"/>
    <w:rsid w:val="006A02BB"/>
    <w:rsid w:val="006F7216"/>
    <w:rsid w:val="0071746F"/>
    <w:rsid w:val="007B7E31"/>
    <w:rsid w:val="007E5622"/>
    <w:rsid w:val="0088132B"/>
    <w:rsid w:val="008A7F3C"/>
    <w:rsid w:val="008C2DD3"/>
    <w:rsid w:val="008E10AB"/>
    <w:rsid w:val="008E59B2"/>
    <w:rsid w:val="00917BC3"/>
    <w:rsid w:val="00946D76"/>
    <w:rsid w:val="00957A89"/>
    <w:rsid w:val="00963310"/>
    <w:rsid w:val="00984B0E"/>
    <w:rsid w:val="009855D5"/>
    <w:rsid w:val="00986DA3"/>
    <w:rsid w:val="00991680"/>
    <w:rsid w:val="00991C5B"/>
    <w:rsid w:val="009A0A62"/>
    <w:rsid w:val="00A314A4"/>
    <w:rsid w:val="00A44A4D"/>
    <w:rsid w:val="00A96F9D"/>
    <w:rsid w:val="00B464B9"/>
    <w:rsid w:val="00B66AED"/>
    <w:rsid w:val="00B7078C"/>
    <w:rsid w:val="00BB40AE"/>
    <w:rsid w:val="00BC3EF9"/>
    <w:rsid w:val="00BD5AA5"/>
    <w:rsid w:val="00BE085F"/>
    <w:rsid w:val="00BE5768"/>
    <w:rsid w:val="00C13397"/>
    <w:rsid w:val="00C4080D"/>
    <w:rsid w:val="00C419CE"/>
    <w:rsid w:val="00C46B7D"/>
    <w:rsid w:val="00C72B15"/>
    <w:rsid w:val="00C72BAE"/>
    <w:rsid w:val="00CB69CC"/>
    <w:rsid w:val="00D453D0"/>
    <w:rsid w:val="00D532AF"/>
    <w:rsid w:val="00D556D8"/>
    <w:rsid w:val="00D85065"/>
    <w:rsid w:val="00D87BA9"/>
    <w:rsid w:val="00D92CBE"/>
    <w:rsid w:val="00D94B7E"/>
    <w:rsid w:val="00DC27B9"/>
    <w:rsid w:val="00DD1EA3"/>
    <w:rsid w:val="00DD5139"/>
    <w:rsid w:val="00E310F9"/>
    <w:rsid w:val="00E32A55"/>
    <w:rsid w:val="00E56729"/>
    <w:rsid w:val="00E85EB4"/>
    <w:rsid w:val="00EE3D3A"/>
    <w:rsid w:val="00EE61E5"/>
    <w:rsid w:val="00F00A20"/>
    <w:rsid w:val="00FC71EF"/>
    <w:rsid w:val="00FD3B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29338FB7-D6AF-4443-A1FF-B03230FFE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4A4"/>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9F8"/>
    <w:pPr>
      <w:tabs>
        <w:tab w:val="center" w:pos="4320"/>
        <w:tab w:val="right" w:pos="8640"/>
      </w:tabs>
    </w:pPr>
  </w:style>
  <w:style w:type="character" w:customStyle="1" w:styleId="HeaderChar">
    <w:name w:val="Header Char"/>
    <w:basedOn w:val="DefaultParagraphFont"/>
    <w:link w:val="Header"/>
    <w:uiPriority w:val="99"/>
    <w:rsid w:val="000D19F8"/>
  </w:style>
  <w:style w:type="paragraph" w:styleId="Footer">
    <w:name w:val="footer"/>
    <w:basedOn w:val="Normal"/>
    <w:link w:val="FooterChar"/>
    <w:uiPriority w:val="99"/>
    <w:unhideWhenUsed/>
    <w:rsid w:val="000D19F8"/>
    <w:pPr>
      <w:tabs>
        <w:tab w:val="center" w:pos="4320"/>
        <w:tab w:val="right" w:pos="8640"/>
      </w:tabs>
    </w:pPr>
  </w:style>
  <w:style w:type="character" w:customStyle="1" w:styleId="FooterChar">
    <w:name w:val="Footer Char"/>
    <w:basedOn w:val="DefaultParagraphFont"/>
    <w:link w:val="Footer"/>
    <w:uiPriority w:val="99"/>
    <w:rsid w:val="000D19F8"/>
  </w:style>
  <w:style w:type="paragraph" w:styleId="BalloonText">
    <w:name w:val="Balloon Text"/>
    <w:basedOn w:val="Normal"/>
    <w:link w:val="BalloonTextChar"/>
    <w:uiPriority w:val="99"/>
    <w:semiHidden/>
    <w:unhideWhenUsed/>
    <w:rsid w:val="000D19F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19F8"/>
    <w:rPr>
      <w:rFonts w:ascii="Lucida Grande" w:hAnsi="Lucida Grande" w:cs="Lucida Grande"/>
      <w:sz w:val="18"/>
      <w:szCs w:val="18"/>
    </w:rPr>
  </w:style>
  <w:style w:type="paragraph" w:styleId="ListParagraph">
    <w:name w:val="List Paragraph"/>
    <w:basedOn w:val="Normal"/>
    <w:link w:val="ListParagraphChar"/>
    <w:uiPriority w:val="34"/>
    <w:qFormat/>
    <w:rsid w:val="004615EC"/>
    <w:pPr>
      <w:ind w:left="720"/>
      <w:contextualSpacing/>
    </w:pPr>
  </w:style>
  <w:style w:type="paragraph" w:customStyle="1" w:styleId="TMHead3">
    <w:name w:val="TM Head 3"/>
    <w:basedOn w:val="Normal"/>
    <w:link w:val="TMHead3Char"/>
    <w:qFormat/>
    <w:rsid w:val="004615EC"/>
    <w:pPr>
      <w:spacing w:after="0" w:line="240" w:lineRule="auto"/>
    </w:pPr>
    <w:rPr>
      <w:b/>
    </w:rPr>
  </w:style>
  <w:style w:type="paragraph" w:customStyle="1" w:styleId="TMBody">
    <w:name w:val="TM Body"/>
    <w:basedOn w:val="Normal"/>
    <w:link w:val="TMBodyChar"/>
    <w:qFormat/>
    <w:rsid w:val="004615EC"/>
  </w:style>
  <w:style w:type="character" w:customStyle="1" w:styleId="TMHead3Char">
    <w:name w:val="TM Head 3 Char"/>
    <w:basedOn w:val="DefaultParagraphFont"/>
    <w:link w:val="TMHead3"/>
    <w:rsid w:val="004615EC"/>
    <w:rPr>
      <w:rFonts w:eastAsiaTheme="minorHAnsi"/>
      <w:b/>
      <w:sz w:val="22"/>
      <w:szCs w:val="22"/>
    </w:rPr>
  </w:style>
  <w:style w:type="paragraph" w:customStyle="1" w:styleId="TMListHead">
    <w:name w:val="TM List Head"/>
    <w:basedOn w:val="ListParagraph"/>
    <w:link w:val="TMListHeadChar"/>
    <w:qFormat/>
    <w:rsid w:val="004615EC"/>
    <w:pPr>
      <w:numPr>
        <w:numId w:val="1"/>
      </w:numPr>
    </w:pPr>
    <w:rPr>
      <w:b/>
      <w:i/>
    </w:rPr>
  </w:style>
  <w:style w:type="character" w:customStyle="1" w:styleId="TMBodyChar">
    <w:name w:val="TM Body Char"/>
    <w:basedOn w:val="DefaultParagraphFont"/>
    <w:link w:val="TMBody"/>
    <w:rsid w:val="004615EC"/>
    <w:rPr>
      <w:rFonts w:eastAsiaTheme="minorHAnsi"/>
      <w:sz w:val="22"/>
      <w:szCs w:val="22"/>
    </w:rPr>
  </w:style>
  <w:style w:type="character" w:customStyle="1" w:styleId="ListParagraphChar">
    <w:name w:val="List Paragraph Char"/>
    <w:basedOn w:val="DefaultParagraphFont"/>
    <w:link w:val="ListParagraph"/>
    <w:uiPriority w:val="34"/>
    <w:rsid w:val="004615EC"/>
    <w:rPr>
      <w:rFonts w:eastAsiaTheme="minorHAnsi"/>
      <w:sz w:val="22"/>
      <w:szCs w:val="22"/>
    </w:rPr>
  </w:style>
  <w:style w:type="character" w:customStyle="1" w:styleId="TMListHeadChar">
    <w:name w:val="TM List Head Char"/>
    <w:basedOn w:val="ListParagraphChar"/>
    <w:link w:val="TMListHead"/>
    <w:rsid w:val="004615EC"/>
    <w:rPr>
      <w:rFonts w:eastAsiaTheme="minorHAnsi"/>
      <w:b/>
      <w:i/>
      <w:sz w:val="22"/>
      <w:szCs w:val="22"/>
    </w:rPr>
  </w:style>
  <w:style w:type="character" w:customStyle="1" w:styleId="TitleHeadingChar">
    <w:name w:val="Title Heading Char"/>
    <w:basedOn w:val="DefaultParagraphFont"/>
    <w:link w:val="TitleHeading"/>
    <w:locked/>
    <w:rsid w:val="004615EC"/>
    <w:rPr>
      <w:rFonts w:ascii="Calibri" w:eastAsia="Calibri" w:hAnsi="Calibri" w:cs="Calibri"/>
      <w:b/>
      <w:bCs/>
      <w:color w:val="BD881C"/>
      <w:position w:val="1"/>
      <w:sz w:val="44"/>
      <w:szCs w:val="44"/>
    </w:rPr>
  </w:style>
  <w:style w:type="paragraph" w:customStyle="1" w:styleId="TitleHeading">
    <w:name w:val="Title Heading"/>
    <w:basedOn w:val="Normal"/>
    <w:link w:val="TitleHeadingChar"/>
    <w:qFormat/>
    <w:rsid w:val="004615EC"/>
    <w:pPr>
      <w:widowControl w:val="0"/>
      <w:spacing w:after="0" w:line="499" w:lineRule="exact"/>
      <w:ind w:right="-20"/>
    </w:pPr>
    <w:rPr>
      <w:rFonts w:ascii="Calibri" w:eastAsia="Calibri" w:hAnsi="Calibri" w:cs="Calibri"/>
      <w:b/>
      <w:bCs/>
      <w:color w:val="BD881C"/>
      <w:position w:val="1"/>
      <w:sz w:val="44"/>
      <w:szCs w:val="44"/>
    </w:rPr>
  </w:style>
  <w:style w:type="character" w:styleId="Hyperlink">
    <w:name w:val="Hyperlink"/>
    <w:basedOn w:val="DefaultParagraphFont"/>
    <w:uiPriority w:val="99"/>
    <w:unhideWhenUsed/>
    <w:rsid w:val="000064DA"/>
    <w:rPr>
      <w:color w:val="0000FF" w:themeColor="hyperlink"/>
      <w:u w:val="single"/>
    </w:rPr>
  </w:style>
  <w:style w:type="paragraph" w:styleId="Revision">
    <w:name w:val="Revision"/>
    <w:hidden/>
    <w:uiPriority w:val="99"/>
    <w:semiHidden/>
    <w:rsid w:val="00963310"/>
    <w:rPr>
      <w:rFonts w:eastAsiaTheme="minorHAnsi"/>
      <w:sz w:val="22"/>
      <w:szCs w:val="22"/>
    </w:rPr>
  </w:style>
  <w:style w:type="character" w:styleId="CommentReference">
    <w:name w:val="annotation reference"/>
    <w:basedOn w:val="DefaultParagraphFont"/>
    <w:uiPriority w:val="99"/>
    <w:semiHidden/>
    <w:unhideWhenUsed/>
    <w:rsid w:val="00C46B7D"/>
    <w:rPr>
      <w:sz w:val="16"/>
      <w:szCs w:val="16"/>
    </w:rPr>
  </w:style>
  <w:style w:type="paragraph" w:styleId="CommentText">
    <w:name w:val="annotation text"/>
    <w:basedOn w:val="Normal"/>
    <w:link w:val="CommentTextChar"/>
    <w:uiPriority w:val="99"/>
    <w:semiHidden/>
    <w:unhideWhenUsed/>
    <w:rsid w:val="00C46B7D"/>
    <w:pPr>
      <w:spacing w:line="240" w:lineRule="auto"/>
    </w:pPr>
    <w:rPr>
      <w:sz w:val="20"/>
      <w:szCs w:val="20"/>
    </w:rPr>
  </w:style>
  <w:style w:type="character" w:customStyle="1" w:styleId="CommentTextChar">
    <w:name w:val="Comment Text Char"/>
    <w:basedOn w:val="DefaultParagraphFont"/>
    <w:link w:val="CommentText"/>
    <w:uiPriority w:val="99"/>
    <w:semiHidden/>
    <w:rsid w:val="00C46B7D"/>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C46B7D"/>
    <w:rPr>
      <w:b/>
      <w:bCs/>
    </w:rPr>
  </w:style>
  <w:style w:type="character" w:customStyle="1" w:styleId="CommentSubjectChar">
    <w:name w:val="Comment Subject Char"/>
    <w:basedOn w:val="CommentTextChar"/>
    <w:link w:val="CommentSubject"/>
    <w:uiPriority w:val="99"/>
    <w:semiHidden/>
    <w:rsid w:val="00C46B7D"/>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sa.mnscu.edu/studentaffairs/concurrentenrollment/index.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c2413gg\AppData\Local\Microsoft\Windows\Temporary%20Internet%20Files\Content.Outlook\QZH52WY5\Minnesota%20State%20Multi-Page_07-26-16_no%20page%20brea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521C0-9A46-44F4-91D5-008DDEEB5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Minnesota State Multi-Page_07-26-16_no page break</Template>
  <TotalTime>0</TotalTime>
  <Pages>3</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PadillaCRT</Company>
  <LinksUpToDate>false</LinksUpToDate>
  <CharactersWithSpaces>4934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Noelle Hawton</dc:creator>
  <cp:lastModifiedBy>Jim Grathwol</cp:lastModifiedBy>
  <cp:revision>2</cp:revision>
  <cp:lastPrinted>2017-01-10T21:36:00Z</cp:lastPrinted>
  <dcterms:created xsi:type="dcterms:W3CDTF">2017-01-10T21:46:00Z</dcterms:created>
  <dcterms:modified xsi:type="dcterms:W3CDTF">2017-01-10T21:46:00Z</dcterms:modified>
</cp:coreProperties>
</file>