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AD" w:rsidRDefault="002746AD" w:rsidP="002746AD">
      <w:pPr>
        <w:pStyle w:val="NormalWeb"/>
        <w:shd w:val="clear" w:color="auto" w:fill="FFFFFF"/>
        <w:spacing w:before="0" w:beforeAutospacing="0" w:after="264" w:afterAutospacing="0" w:line="408" w:lineRule="atLeast"/>
        <w:rPr>
          <w:rStyle w:val="Strong"/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b/>
          <w:bCs/>
          <w:noProof/>
          <w:color w:val="333333"/>
          <w:sz w:val="29"/>
          <w:szCs w:val="29"/>
        </w:rPr>
        <w:drawing>
          <wp:inline distT="0" distB="0" distL="0" distR="0" wp14:anchorId="37430BB5" wp14:editId="2224FF44">
            <wp:extent cx="1737360" cy="1666240"/>
            <wp:effectExtent l="0" t="0" r="0" b="0"/>
            <wp:docPr id="1" name="Picture 1" descr="http://realtormag.realtor.org/sites/realtormag.realtor.org/files/rmo_files/tool-kits/Brokerage_Marketing_4_Ways_To_Avoid_Discri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altormag.realtor.org/sites/realtormag.realtor.org/files/rmo_files/tool-kits/Brokerage_Marketing_4_Ways_To_Avoid_Discrimin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AD" w:rsidRDefault="002746AD" w:rsidP="002746AD">
      <w:pPr>
        <w:pStyle w:val="NormalWeb"/>
        <w:shd w:val="clear" w:color="auto" w:fill="FFFFFF"/>
        <w:spacing w:before="0" w:beforeAutospacing="0" w:after="264" w:afterAutospacing="0" w:line="408" w:lineRule="atLeast"/>
        <w:rPr>
          <w:rFonts w:ascii="Arial" w:hAnsi="Arial" w:cs="Arial"/>
          <w:color w:val="333333"/>
          <w:sz w:val="29"/>
          <w:szCs w:val="29"/>
        </w:rPr>
      </w:pPr>
      <w:bookmarkStart w:id="0" w:name="_GoBack"/>
      <w:r>
        <w:rPr>
          <w:rFonts w:ascii="Arial" w:hAnsi="Arial" w:cs="Arial"/>
          <w:color w:val="333333"/>
          <w:sz w:val="29"/>
          <w:szCs w:val="29"/>
        </w:rPr>
        <w:t>Consider using the equal housing disclaimer and/or logo. (This is not required by law but serves as evidence of your commitment). The disclaimer states that you will not discriminate on the basis of a federal or state protected class.</w:t>
      </w:r>
    </w:p>
    <w:bookmarkEnd w:id="0"/>
    <w:p w:rsidR="002746AD" w:rsidRDefault="002746AD" w:rsidP="002746AD">
      <w:pPr>
        <w:pStyle w:val="NormalWeb"/>
        <w:shd w:val="clear" w:color="auto" w:fill="FFFFFF"/>
        <w:spacing w:before="0" w:beforeAutospacing="0" w:after="264" w:afterAutospacing="0" w:line="408" w:lineRule="atLeast"/>
        <w:rPr>
          <w:rFonts w:ascii="Arial" w:hAnsi="Arial" w:cs="Arial"/>
          <w:color w:val="333333"/>
          <w:sz w:val="29"/>
          <w:szCs w:val="29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5959"/>
        <w:gridCol w:w="1768"/>
      </w:tblGrid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19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Protected Classes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19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319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Also covered in federal law</w:t>
            </w: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Generally, a member of a group united or classified together based on a common history, nationality or geography.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Yes</w:t>
            </w: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The color of a person’s skin.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Yes</w:t>
            </w: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Family Status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 household with minor children. A person who is pregnant or seeking custody of a child, or is planning adoption or guardianship is included.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Yes</w:t>
            </w: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Disability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Having a physical or mental impairment that substantially limits one or more major life activities, or having a record of, or being perceived as having a disability.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Yes</w:t>
            </w: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Sex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Being male or female.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Yes</w:t>
            </w: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 xml:space="preserve">National </w:t>
            </w: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lastRenderedPageBreak/>
              <w:t>Origin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lastRenderedPageBreak/>
              <w:t xml:space="preserve">Generally, a member of a nation by birth or </w:t>
            </w: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lastRenderedPageBreak/>
              <w:t>naturalization or having common origins or traditions.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lastRenderedPageBreak/>
              <w:t>Yes</w:t>
            </w: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Sincerely held religious, moral or ethical beliefs and practices.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Yes</w:t>
            </w: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Marital Status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The status of being married, widowed, single, divorced, or separated.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Ancestry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The country, nation or tribe of the identifiable group from which a person descends.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Source of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The lawful source of a person’s income, including wages, a voucher having monetary value, social security, public assistance or other related payments.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Sexual Orientation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Having a preference for heterosexuality, homosexuality, or bisexuality or having a history of being so identified.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</w:tr>
      <w:tr w:rsidR="002746AD" w:rsidRPr="002746AD" w:rsidTr="002746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Being at least 18 years of age.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</w:tr>
      <w:tr w:rsidR="002746AD" w:rsidRPr="002746AD" w:rsidTr="002746AD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2746AD" w:rsidRPr="002746AD" w:rsidRDefault="002746AD" w:rsidP="002746AD">
            <w:pPr>
              <w:spacing w:before="150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 xml:space="preserve">Status as a </w:t>
            </w:r>
            <w:proofErr w:type="spellStart"/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Vict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o</w:t>
            </w:r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m</w:t>
            </w:r>
            <w:proofErr w:type="spellEnd"/>
            <w:r w:rsidRPr="002746AD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 xml:space="preserve"> of Domestic Abuse, Sexual Abuse or Stalking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6AD" w:rsidRPr="002746AD" w:rsidRDefault="002746AD" w:rsidP="00274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46AD" w:rsidRDefault="002746AD" w:rsidP="002746AD">
      <w:pPr>
        <w:pStyle w:val="NormalWeb"/>
        <w:shd w:val="clear" w:color="auto" w:fill="FFFFFF"/>
        <w:spacing w:before="0" w:beforeAutospacing="0" w:after="264" w:afterAutospacing="0" w:line="408" w:lineRule="atLeast"/>
        <w:rPr>
          <w:rFonts w:ascii="Arial" w:hAnsi="Arial" w:cs="Arial"/>
          <w:color w:val="333333"/>
          <w:sz w:val="29"/>
          <w:szCs w:val="29"/>
        </w:rPr>
      </w:pPr>
    </w:p>
    <w:p w:rsidR="0016725A" w:rsidRDefault="002746AD" w:rsidP="00E9364B">
      <w:pPr>
        <w:pStyle w:val="NormalWeb"/>
        <w:shd w:val="clear" w:color="auto" w:fill="FFFFFF"/>
        <w:spacing w:before="0" w:beforeAutospacing="0" w:after="264" w:afterAutospacing="0" w:line="408" w:lineRule="atLeast"/>
      </w:pPr>
      <w:r>
        <w:rPr>
          <w:rFonts w:ascii="Arial" w:hAnsi="Arial" w:cs="Arial"/>
          <w:color w:val="333333"/>
          <w:sz w:val="29"/>
          <w:szCs w:val="29"/>
        </w:rPr>
        <w:t xml:space="preserve"> The equal housing opportunity logo is a picture of a small house with the words “equal housing opportunity” directly beneath it. Note that the small house picture </w:t>
      </w:r>
      <w:r>
        <w:rPr>
          <w:rStyle w:val="Emphasis"/>
          <w:rFonts w:ascii="Arial" w:hAnsi="Arial" w:cs="Arial"/>
          <w:color w:val="333333"/>
          <w:sz w:val="29"/>
          <w:szCs w:val="29"/>
        </w:rPr>
        <w:t>cannot</w:t>
      </w:r>
      <w:r>
        <w:rPr>
          <w:rFonts w:ascii="Arial" w:hAnsi="Arial" w:cs="Arial"/>
          <w:color w:val="333333"/>
          <w:sz w:val="29"/>
          <w:szCs w:val="29"/>
        </w:rPr>
        <w:t> be used without the words “equal housing opportunity” beneath it, but the words </w:t>
      </w:r>
      <w:r>
        <w:rPr>
          <w:rStyle w:val="Emphasis"/>
          <w:rFonts w:ascii="Arial" w:hAnsi="Arial" w:cs="Arial"/>
          <w:color w:val="333333"/>
          <w:sz w:val="29"/>
          <w:szCs w:val="29"/>
        </w:rPr>
        <w:t>can</w:t>
      </w:r>
      <w:r>
        <w:rPr>
          <w:rFonts w:ascii="Arial" w:hAnsi="Arial" w:cs="Arial"/>
          <w:color w:val="333333"/>
          <w:sz w:val="29"/>
          <w:szCs w:val="29"/>
        </w:rPr>
        <w:t> be used without the small house picture. Although using a disclaimer and/or logo will not eliminate discrimination liability, it is one of the factors used in determining intent to discriminate. Here is a link to the logo:</w:t>
      </w:r>
      <w:r w:rsidRPr="002746AD">
        <w:t xml:space="preserve"> </w:t>
      </w:r>
      <w:hyperlink r:id="rId5" w:history="1">
        <w:r w:rsidRPr="0088648C">
          <w:rPr>
            <w:rStyle w:val="Hyperlink"/>
            <w:rFonts w:ascii="Arial" w:hAnsi="Arial" w:cs="Arial"/>
            <w:sz w:val="29"/>
            <w:szCs w:val="29"/>
          </w:rPr>
          <w:t>https://www.nar.realtor/logos-and-trademark-rules/equal-housing-opportunity-logo</w:t>
        </w:r>
      </w:hyperlink>
    </w:p>
    <w:sectPr w:rsidR="0016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AD"/>
    <w:rsid w:val="00201C54"/>
    <w:rsid w:val="002746AD"/>
    <w:rsid w:val="003A4134"/>
    <w:rsid w:val="00611AE5"/>
    <w:rsid w:val="00B04B94"/>
    <w:rsid w:val="00D41D51"/>
    <w:rsid w:val="00E9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7F38"/>
  <w15:docId w15:val="{CDDAEAAC-7094-49AE-B758-374FE4FC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6AD"/>
    <w:rPr>
      <w:b/>
      <w:bCs/>
    </w:rPr>
  </w:style>
  <w:style w:type="character" w:styleId="Emphasis">
    <w:name w:val="Emphasis"/>
    <w:basedOn w:val="DefaultParagraphFont"/>
    <w:uiPriority w:val="20"/>
    <w:qFormat/>
    <w:rsid w:val="002746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r.realtor/logos-and-trademark-rules/equal-housing-opportunity-log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Marne Stuck</cp:lastModifiedBy>
  <cp:revision>2</cp:revision>
  <dcterms:created xsi:type="dcterms:W3CDTF">2018-05-29T16:50:00Z</dcterms:created>
  <dcterms:modified xsi:type="dcterms:W3CDTF">2018-05-29T16:50:00Z</dcterms:modified>
</cp:coreProperties>
</file>