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05A02" w14:textId="4184F352" w:rsidR="005D65C7" w:rsidRDefault="005D65C7" w:rsidP="005D65C7">
      <w:pPr>
        <w:jc w:val="center"/>
        <w:rPr>
          <w:rFonts w:ascii="Times New Roman" w:eastAsia="Times New Roman" w:hAnsi="Times New Roman" w:cs="Times New Roman"/>
          <w:b/>
          <w:bCs/>
          <w:sz w:val="24"/>
          <w:szCs w:val="24"/>
        </w:rPr>
      </w:pPr>
      <w:r w:rsidRPr="005D65C7">
        <w:rPr>
          <w:rFonts w:ascii="Times New Roman" w:eastAsia="Times New Roman" w:hAnsi="Times New Roman" w:cs="Times New Roman"/>
          <w:b/>
          <w:bCs/>
          <w:sz w:val="24"/>
          <w:szCs w:val="24"/>
        </w:rPr>
        <w:t>For Cattlemen in San Luis Obispo County</w:t>
      </w:r>
    </w:p>
    <w:p w14:paraId="24777AAA" w14:textId="59F90D99" w:rsidR="00E422F5" w:rsidRPr="005D65C7" w:rsidRDefault="00E422F5" w:rsidP="005D65C7">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Forage Losses 2021-2022 Growing Year</w:t>
      </w:r>
    </w:p>
    <w:p w14:paraId="6D61841F" w14:textId="3FA54E0F" w:rsidR="00E73B99" w:rsidRPr="004E56A3" w:rsidRDefault="006778DC" w:rsidP="00E73B99">
      <w:pPr>
        <w:rPr>
          <w:rFonts w:ascii="Times New Roman" w:hAnsi="Times New Roman" w:cs="Times New Roman"/>
          <w:b/>
          <w:bCs/>
          <w:i/>
          <w:noProof/>
          <w:sz w:val="20"/>
          <w:szCs w:val="20"/>
        </w:rPr>
      </w:pPr>
      <w:r w:rsidRPr="00DB0CB3">
        <w:rPr>
          <w:rFonts w:cs="Times New Roman"/>
          <w:noProof/>
          <w:sz w:val="24"/>
          <w:szCs w:val="24"/>
        </w:rPr>
        <w:drawing>
          <wp:anchor distT="0" distB="0" distL="114300" distR="114300" simplePos="0" relativeHeight="251658240" behindDoc="0" locked="0" layoutInCell="1" allowOverlap="1" wp14:anchorId="145DF656" wp14:editId="0439A091">
            <wp:simplePos x="0" y="0"/>
            <wp:positionH relativeFrom="margin">
              <wp:posOffset>-20320</wp:posOffset>
            </wp:positionH>
            <wp:positionV relativeFrom="paragraph">
              <wp:posOffset>1557655</wp:posOffset>
            </wp:positionV>
            <wp:extent cx="4408805" cy="3405505"/>
            <wp:effectExtent l="0" t="0" r="0" b="4445"/>
            <wp:wrapSquare wrapText="bothSides"/>
            <wp:docPr id="2" name="Picture 2" descr="C:\Users\relarsen\Documents\aaProjects\1Peak Forage Project\2016 report and letters\2016_ForageProdu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larsen\Documents\aaProjects\1Peak Forage Project\2016 report and letters\2016_ForageProduct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08805" cy="3405505"/>
                    </a:xfrm>
                    <a:prstGeom prst="rect">
                      <a:avLst/>
                    </a:prstGeom>
                    <a:noFill/>
                    <a:ln>
                      <a:noFill/>
                    </a:ln>
                  </pic:spPr>
                </pic:pic>
              </a:graphicData>
            </a:graphic>
            <wp14:sizeRelH relativeFrom="page">
              <wp14:pctWidth>0</wp14:pctWidth>
            </wp14:sizeRelH>
            <wp14:sizeRelV relativeFrom="page">
              <wp14:pctHeight>0</wp14:pctHeight>
            </wp14:sizeRelV>
          </wp:anchor>
        </w:drawing>
      </w:r>
      <w:r w:rsidR="004E56A3" w:rsidRPr="002B4A88">
        <w:rPr>
          <w:rFonts w:ascii="Times New Roman" w:eastAsia="Times New Roman" w:hAnsi="Times New Roman" w:cs="Times New Roman"/>
          <w:sz w:val="24"/>
          <w:szCs w:val="24"/>
        </w:rPr>
        <w:t xml:space="preserve">San Luis Obispo County rangeland </w:t>
      </w:r>
      <w:r w:rsidR="00013205">
        <w:rPr>
          <w:rFonts w:ascii="Times New Roman" w:eastAsia="Times New Roman" w:hAnsi="Times New Roman" w:cs="Times New Roman"/>
          <w:sz w:val="24"/>
          <w:szCs w:val="24"/>
        </w:rPr>
        <w:t>has</w:t>
      </w:r>
      <w:r w:rsidR="004E56A3" w:rsidRPr="002B4A88">
        <w:rPr>
          <w:rFonts w:ascii="Times New Roman" w:eastAsia="Times New Roman" w:hAnsi="Times New Roman" w:cs="Times New Roman"/>
          <w:sz w:val="24"/>
          <w:szCs w:val="24"/>
        </w:rPr>
        <w:t xml:space="preserve"> high variability in productivity across the county.</w:t>
      </w:r>
      <w:r w:rsidR="004E56A3">
        <w:rPr>
          <w:rFonts w:ascii="Times New Roman" w:eastAsia="Times New Roman" w:hAnsi="Times New Roman" w:cs="Times New Roman"/>
          <w:sz w:val="24"/>
          <w:szCs w:val="24"/>
        </w:rPr>
        <w:t xml:space="preserve"> We have 3</w:t>
      </w:r>
      <w:r w:rsidR="00DA3246">
        <w:rPr>
          <w:rFonts w:ascii="Times New Roman" w:eastAsia="Times New Roman" w:hAnsi="Times New Roman" w:cs="Times New Roman"/>
          <w:sz w:val="24"/>
          <w:szCs w:val="24"/>
        </w:rPr>
        <w:t>1</w:t>
      </w:r>
      <w:r w:rsidR="004E56A3" w:rsidRPr="002B4A88">
        <w:rPr>
          <w:rFonts w:ascii="Times New Roman" w:eastAsia="Times New Roman" w:hAnsi="Times New Roman" w:cs="Times New Roman"/>
          <w:sz w:val="24"/>
          <w:szCs w:val="24"/>
        </w:rPr>
        <w:t xml:space="preserve"> monitoring sites</w:t>
      </w:r>
      <w:r w:rsidR="004E56A3">
        <w:rPr>
          <w:rFonts w:ascii="Times New Roman" w:eastAsia="Times New Roman" w:hAnsi="Times New Roman" w:cs="Times New Roman"/>
          <w:sz w:val="24"/>
          <w:szCs w:val="24"/>
        </w:rPr>
        <w:t xml:space="preserve"> (Figure 1)</w:t>
      </w:r>
      <w:r w:rsidR="004E56A3" w:rsidRPr="002B4A88">
        <w:rPr>
          <w:rFonts w:ascii="Times New Roman" w:eastAsia="Times New Roman" w:hAnsi="Times New Roman" w:cs="Times New Roman"/>
          <w:sz w:val="24"/>
          <w:szCs w:val="24"/>
        </w:rPr>
        <w:t xml:space="preserve"> distributed across the county </w:t>
      </w:r>
      <w:r w:rsidR="004E56A3">
        <w:rPr>
          <w:rFonts w:ascii="Times New Roman" w:eastAsia="Times New Roman" w:hAnsi="Times New Roman" w:cs="Times New Roman"/>
          <w:sz w:val="24"/>
          <w:szCs w:val="24"/>
        </w:rPr>
        <w:t xml:space="preserve">that </w:t>
      </w:r>
      <w:r w:rsidR="004E56A3" w:rsidRPr="002B4A88">
        <w:rPr>
          <w:rFonts w:ascii="Times New Roman" w:eastAsia="Times New Roman" w:hAnsi="Times New Roman" w:cs="Times New Roman"/>
          <w:sz w:val="24"/>
          <w:szCs w:val="24"/>
        </w:rPr>
        <w:t>give</w:t>
      </w:r>
      <w:r w:rsidR="004E56A3">
        <w:rPr>
          <w:rFonts w:ascii="Times New Roman" w:eastAsia="Times New Roman" w:hAnsi="Times New Roman" w:cs="Times New Roman"/>
          <w:sz w:val="24"/>
          <w:szCs w:val="24"/>
        </w:rPr>
        <w:t>s</w:t>
      </w:r>
      <w:r w:rsidR="004E56A3" w:rsidRPr="002B4A88">
        <w:rPr>
          <w:rFonts w:ascii="Times New Roman" w:eastAsia="Times New Roman" w:hAnsi="Times New Roman" w:cs="Times New Roman"/>
          <w:sz w:val="24"/>
          <w:szCs w:val="24"/>
        </w:rPr>
        <w:t xml:space="preserve"> a good summary of forage </w:t>
      </w:r>
      <w:r w:rsidR="00DA3246">
        <w:rPr>
          <w:rFonts w:ascii="Times New Roman" w:eastAsia="Times New Roman" w:hAnsi="Times New Roman" w:cs="Times New Roman"/>
          <w:sz w:val="24"/>
          <w:szCs w:val="24"/>
        </w:rPr>
        <w:t>production.</w:t>
      </w:r>
      <w:r w:rsidR="004E56A3" w:rsidRPr="002B4A88">
        <w:rPr>
          <w:rFonts w:ascii="Times New Roman" w:eastAsia="Times New Roman" w:hAnsi="Times New Roman" w:cs="Times New Roman"/>
          <w:sz w:val="24"/>
          <w:szCs w:val="24"/>
        </w:rPr>
        <w:t xml:space="preserve"> </w:t>
      </w:r>
      <w:r w:rsidR="00DA3246">
        <w:rPr>
          <w:rFonts w:ascii="Times New Roman" w:eastAsia="Times New Roman" w:hAnsi="Times New Roman" w:cs="Times New Roman"/>
          <w:sz w:val="24"/>
          <w:szCs w:val="24"/>
        </w:rPr>
        <w:t>H</w:t>
      </w:r>
      <w:r w:rsidR="004E56A3" w:rsidRPr="002B4A88">
        <w:rPr>
          <w:rFonts w:ascii="Times New Roman" w:eastAsia="Times New Roman" w:hAnsi="Times New Roman" w:cs="Times New Roman"/>
          <w:sz w:val="24"/>
          <w:szCs w:val="24"/>
        </w:rPr>
        <w:t xml:space="preserve">owever, </w:t>
      </w:r>
      <w:r w:rsidR="00DA3246">
        <w:rPr>
          <w:rFonts w:ascii="Times New Roman" w:eastAsia="Times New Roman" w:hAnsi="Times New Roman" w:cs="Times New Roman"/>
          <w:sz w:val="24"/>
          <w:szCs w:val="24"/>
        </w:rPr>
        <w:t>not all</w:t>
      </w:r>
      <w:r w:rsidR="004E56A3" w:rsidRPr="002B4A88">
        <w:rPr>
          <w:rFonts w:ascii="Times New Roman" w:eastAsia="Times New Roman" w:hAnsi="Times New Roman" w:cs="Times New Roman"/>
          <w:sz w:val="24"/>
          <w:szCs w:val="24"/>
        </w:rPr>
        <w:t xml:space="preserve"> areas </w:t>
      </w:r>
      <w:r w:rsidR="00DA3246">
        <w:rPr>
          <w:rFonts w:ascii="Times New Roman" w:eastAsia="Times New Roman" w:hAnsi="Times New Roman" w:cs="Times New Roman"/>
          <w:sz w:val="24"/>
          <w:szCs w:val="24"/>
        </w:rPr>
        <w:t>are</w:t>
      </w:r>
      <w:r w:rsidR="004E56A3" w:rsidRPr="002B4A88">
        <w:rPr>
          <w:rFonts w:ascii="Times New Roman" w:eastAsia="Times New Roman" w:hAnsi="Times New Roman" w:cs="Times New Roman"/>
          <w:sz w:val="24"/>
          <w:szCs w:val="24"/>
        </w:rPr>
        <w:t xml:space="preserve"> represented by the monitoring sites due to differences in environmental factors such as soil type, slope, aspect, plant species, temperature, and rainfall timing and amount, and elevation</w:t>
      </w:r>
      <w:r w:rsidR="00DA3246">
        <w:rPr>
          <w:rFonts w:ascii="Times New Roman" w:eastAsia="Times New Roman" w:hAnsi="Times New Roman" w:cs="Times New Roman"/>
          <w:sz w:val="24"/>
          <w:szCs w:val="24"/>
        </w:rPr>
        <w:t>.</w:t>
      </w:r>
      <w:r w:rsidR="004E56A3" w:rsidRPr="002B4A88">
        <w:rPr>
          <w:rFonts w:ascii="Times New Roman" w:eastAsia="Times New Roman" w:hAnsi="Times New Roman" w:cs="Times New Roman"/>
          <w:sz w:val="24"/>
          <w:szCs w:val="24"/>
        </w:rPr>
        <w:t xml:space="preserve"> Therefore, the analyses </w:t>
      </w:r>
      <w:r w:rsidR="00013205">
        <w:rPr>
          <w:rFonts w:ascii="Times New Roman" w:eastAsia="Times New Roman" w:hAnsi="Times New Roman" w:cs="Times New Roman"/>
          <w:sz w:val="24"/>
          <w:szCs w:val="24"/>
        </w:rPr>
        <w:t>of</w:t>
      </w:r>
      <w:r w:rsidR="004E56A3">
        <w:rPr>
          <w:rFonts w:ascii="Times New Roman" w:eastAsia="Times New Roman" w:hAnsi="Times New Roman" w:cs="Times New Roman"/>
          <w:sz w:val="24"/>
          <w:szCs w:val="24"/>
        </w:rPr>
        <w:t xml:space="preserve"> </w:t>
      </w:r>
      <w:r w:rsidR="004E56A3" w:rsidRPr="002B4A88">
        <w:rPr>
          <w:rFonts w:ascii="Times New Roman" w:eastAsia="Times New Roman" w:hAnsi="Times New Roman" w:cs="Times New Roman"/>
          <w:sz w:val="24"/>
          <w:szCs w:val="24"/>
        </w:rPr>
        <w:t xml:space="preserve">forage losses </w:t>
      </w:r>
      <w:r w:rsidR="004E56A3">
        <w:rPr>
          <w:rFonts w:ascii="Times New Roman" w:eastAsia="Times New Roman" w:hAnsi="Times New Roman" w:cs="Times New Roman"/>
          <w:sz w:val="24"/>
          <w:szCs w:val="24"/>
        </w:rPr>
        <w:t>should include</w:t>
      </w:r>
      <w:r w:rsidR="004E56A3" w:rsidRPr="002B4A88">
        <w:rPr>
          <w:rFonts w:ascii="Times New Roman" w:eastAsia="Times New Roman" w:hAnsi="Times New Roman" w:cs="Times New Roman"/>
          <w:sz w:val="24"/>
          <w:szCs w:val="24"/>
        </w:rPr>
        <w:t xml:space="preserve"> input from ranchers</w:t>
      </w:r>
      <w:r w:rsidR="004E56A3">
        <w:rPr>
          <w:rFonts w:ascii="Times New Roman" w:eastAsia="Times New Roman" w:hAnsi="Times New Roman" w:cs="Times New Roman"/>
          <w:sz w:val="24"/>
          <w:szCs w:val="24"/>
        </w:rPr>
        <w:t>. The main driver of forage growth is rainfall. The co</w:t>
      </w:r>
      <w:r w:rsidR="00E73B99">
        <w:rPr>
          <w:rFonts w:ascii="Times New Roman" w:eastAsia="Times New Roman" w:hAnsi="Times New Roman" w:cs="Times New Roman"/>
          <w:sz w:val="24"/>
          <w:szCs w:val="24"/>
        </w:rPr>
        <w:t xml:space="preserve">unty was divided into 3 different rainfall zones (regions) by the Farm Service Agency, see figure 2. </w:t>
      </w:r>
      <w:r w:rsidR="00013205">
        <w:rPr>
          <w:rFonts w:ascii="Times New Roman" w:eastAsia="Times New Roman" w:hAnsi="Times New Roman" w:cs="Times New Roman"/>
          <w:sz w:val="24"/>
          <w:szCs w:val="24"/>
        </w:rPr>
        <w:t xml:space="preserve">All losses are based on an average production for the site. Some years are above average, and other </w:t>
      </w:r>
      <w:r w:rsidR="00DA3246">
        <w:rPr>
          <w:rFonts w:ascii="Times New Roman" w:eastAsia="Times New Roman" w:hAnsi="Times New Roman" w:cs="Times New Roman"/>
          <w:sz w:val="24"/>
          <w:szCs w:val="24"/>
        </w:rPr>
        <w:t xml:space="preserve">are </w:t>
      </w:r>
      <w:r w:rsidR="00013205">
        <w:rPr>
          <w:rFonts w:ascii="Times New Roman" w:eastAsia="Times New Roman" w:hAnsi="Times New Roman" w:cs="Times New Roman"/>
          <w:sz w:val="24"/>
          <w:szCs w:val="24"/>
        </w:rPr>
        <w:t xml:space="preserve">below. </w:t>
      </w:r>
    </w:p>
    <w:p w14:paraId="009BCF9F" w14:textId="06D85200" w:rsidR="00C242BB" w:rsidRDefault="00C242BB" w:rsidP="00C242BB">
      <w:pPr>
        <w:rPr>
          <w:rFonts w:ascii="Times New Roman" w:eastAsia="Times New Roman" w:hAnsi="Times New Roman" w:cs="Times New Roman"/>
          <w:sz w:val="24"/>
          <w:szCs w:val="24"/>
        </w:rPr>
      </w:pPr>
    </w:p>
    <w:p w14:paraId="3917C722" w14:textId="6860DDC0" w:rsidR="004E56A3" w:rsidRDefault="006778DC" w:rsidP="00C242BB">
      <w:pPr>
        <w:rPr>
          <w:rFonts w:ascii="Times New Roman" w:eastAsia="Times New Roman" w:hAnsi="Times New Roman" w:cs="Times New Roman"/>
          <w:sz w:val="24"/>
          <w:szCs w:val="24"/>
        </w:rPr>
      </w:pPr>
      <w:r w:rsidRPr="006778DC">
        <w:rPr>
          <w:rFonts w:ascii="Times New Roman" w:hAnsi="Times New Roman" w:cs="Times New Roman"/>
          <w:b/>
          <w:bCs/>
          <w:noProof/>
          <w:sz w:val="20"/>
          <w:szCs w:val="20"/>
        </w:rPr>
        <mc:AlternateContent>
          <mc:Choice Requires="wps">
            <w:drawing>
              <wp:anchor distT="45720" distB="45720" distL="114300" distR="114300" simplePos="0" relativeHeight="251660288" behindDoc="0" locked="0" layoutInCell="1" allowOverlap="1" wp14:anchorId="10FAA2FB" wp14:editId="050A56FC">
                <wp:simplePos x="0" y="0"/>
                <wp:positionH relativeFrom="column">
                  <wp:posOffset>4488815</wp:posOffset>
                </wp:positionH>
                <wp:positionV relativeFrom="paragraph">
                  <wp:posOffset>316865</wp:posOffset>
                </wp:positionV>
                <wp:extent cx="2204085" cy="1404620"/>
                <wp:effectExtent l="0" t="0" r="2476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085" cy="1404620"/>
                        </a:xfrm>
                        <a:prstGeom prst="rect">
                          <a:avLst/>
                        </a:prstGeom>
                        <a:solidFill>
                          <a:srgbClr val="FFFFFF"/>
                        </a:solidFill>
                        <a:ln w="9525">
                          <a:solidFill>
                            <a:srgbClr val="000000"/>
                          </a:solidFill>
                          <a:miter lim="800000"/>
                          <a:headEnd/>
                          <a:tailEnd/>
                        </a:ln>
                      </wps:spPr>
                      <wps:txbx>
                        <w:txbxContent>
                          <w:p w14:paraId="7E01B9BE" w14:textId="7BA2EAE8" w:rsidR="006778DC" w:rsidRPr="004E56A3" w:rsidRDefault="006778DC" w:rsidP="00E01125">
                            <w:pPr>
                              <w:tabs>
                                <w:tab w:val="left" w:pos="360"/>
                              </w:tabs>
                              <w:ind w:right="954"/>
                              <w:rPr>
                                <w:rFonts w:ascii="Times New Roman" w:hAnsi="Times New Roman" w:cs="Times New Roman"/>
                                <w:b/>
                                <w:bCs/>
                                <w:i/>
                                <w:noProof/>
                                <w:sz w:val="20"/>
                                <w:szCs w:val="20"/>
                              </w:rPr>
                            </w:pPr>
                            <w:r w:rsidRPr="004E56A3">
                              <w:rPr>
                                <w:rFonts w:ascii="Times New Roman" w:hAnsi="Times New Roman" w:cs="Times New Roman"/>
                                <w:b/>
                                <w:bCs/>
                                <w:noProof/>
                                <w:sz w:val="20"/>
                                <w:szCs w:val="20"/>
                              </w:rPr>
                              <w:t>Figure 1. Location of the 3</w:t>
                            </w:r>
                            <w:r>
                              <w:rPr>
                                <w:rFonts w:ascii="Times New Roman" w:hAnsi="Times New Roman" w:cs="Times New Roman"/>
                                <w:b/>
                                <w:bCs/>
                                <w:noProof/>
                                <w:sz w:val="20"/>
                                <w:szCs w:val="20"/>
                              </w:rPr>
                              <w:t>1</w:t>
                            </w:r>
                            <w:r w:rsidRPr="004E56A3">
                              <w:rPr>
                                <w:rFonts w:ascii="Times New Roman" w:hAnsi="Times New Roman" w:cs="Times New Roman"/>
                                <w:b/>
                                <w:bCs/>
                                <w:noProof/>
                                <w:sz w:val="20"/>
                                <w:szCs w:val="20"/>
                              </w:rPr>
                              <w:t xml:space="preserve"> forage monitoring sites in San Luis Obispo County.  These sites were established between 2000 – 2015.</w:t>
                            </w:r>
                            <w:r w:rsidRPr="004E56A3">
                              <w:rPr>
                                <w:rFonts w:ascii="Times New Roman" w:hAnsi="Times New Roman" w:cs="Times New Roman"/>
                                <w:b/>
                                <w:bCs/>
                                <w:i/>
                                <w:noProof/>
                                <w:sz w:val="20"/>
                                <w:szCs w:val="20"/>
                              </w:rPr>
                              <w:t xml:space="preserve"> (Figure prepared by Jessica Boone, Althouse and Meade, Inc.)</w:t>
                            </w:r>
                          </w:p>
                          <w:p w14:paraId="0B45E882" w14:textId="06F838AD" w:rsidR="006778DC" w:rsidRDefault="006778D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FAA2FB" id="_x0000_t202" coordsize="21600,21600" o:spt="202" path="m,l,21600r21600,l21600,xe">
                <v:stroke joinstyle="miter"/>
                <v:path gradientshapeok="t" o:connecttype="rect"/>
              </v:shapetype>
              <v:shape id="Text Box 2" o:spid="_x0000_s1026" type="#_x0000_t202" style="position:absolute;margin-left:353.45pt;margin-top:24.95pt;width:173.5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">
                <v:textbox style="mso-fit-shape-to-text:t">
                  <w:txbxContent>
                    <w:p w14:paraId="7E01B9BE" w14:textId="7BA2EAE8" w:rsidR="006778DC" w:rsidRPr="004E56A3" w:rsidRDefault="006778DC" w:rsidP="00E01125">
                      <w:pPr>
                        <w:tabs>
                          <w:tab w:val="left" w:pos="360"/>
                        </w:tabs>
                        <w:ind w:right="954"/>
                        <w:rPr>
                          <w:rFonts w:ascii="Times New Roman" w:hAnsi="Times New Roman" w:cs="Times New Roman"/>
                          <w:b/>
                          <w:bCs/>
                          <w:i/>
                          <w:noProof/>
                          <w:sz w:val="20"/>
                          <w:szCs w:val="20"/>
                        </w:rPr>
                      </w:pPr>
                      <w:r w:rsidRPr="004E56A3">
                        <w:rPr>
                          <w:rFonts w:ascii="Times New Roman" w:hAnsi="Times New Roman" w:cs="Times New Roman"/>
                          <w:b/>
                          <w:bCs/>
                          <w:noProof/>
                          <w:sz w:val="20"/>
                          <w:szCs w:val="20"/>
                        </w:rPr>
                        <w:t>Figure 1. Location of the 3</w:t>
                      </w:r>
                      <w:r>
                        <w:rPr>
                          <w:rFonts w:ascii="Times New Roman" w:hAnsi="Times New Roman" w:cs="Times New Roman"/>
                          <w:b/>
                          <w:bCs/>
                          <w:noProof/>
                          <w:sz w:val="20"/>
                          <w:szCs w:val="20"/>
                        </w:rPr>
                        <w:t>1</w:t>
                      </w:r>
                      <w:r w:rsidRPr="004E56A3">
                        <w:rPr>
                          <w:rFonts w:ascii="Times New Roman" w:hAnsi="Times New Roman" w:cs="Times New Roman"/>
                          <w:b/>
                          <w:bCs/>
                          <w:noProof/>
                          <w:sz w:val="20"/>
                          <w:szCs w:val="20"/>
                        </w:rPr>
                        <w:t xml:space="preserve"> forage monitoring sites in San Luis Obispo County.  These sites were established between 2000 – 2015.</w:t>
                      </w:r>
                      <w:r w:rsidRPr="004E56A3">
                        <w:rPr>
                          <w:rFonts w:ascii="Times New Roman" w:hAnsi="Times New Roman" w:cs="Times New Roman"/>
                          <w:b/>
                          <w:bCs/>
                          <w:i/>
                          <w:noProof/>
                          <w:sz w:val="20"/>
                          <w:szCs w:val="20"/>
                        </w:rPr>
                        <w:t xml:space="preserve"> (Figure prepared by Jessica Boone, Althouse and Meade, Inc.)</w:t>
                      </w:r>
                    </w:p>
                    <w:p w14:paraId="0B45E882" w14:textId="06F838AD" w:rsidR="006778DC" w:rsidRDefault="006778DC"/>
                  </w:txbxContent>
                </v:textbox>
                <w10:wrap type="square"/>
              </v:shape>
            </w:pict>
          </mc:Fallback>
        </mc:AlternateContent>
      </w:r>
    </w:p>
    <w:p w14:paraId="599FE668" w14:textId="31D26766" w:rsidR="006778DC" w:rsidRDefault="006778DC" w:rsidP="00DA3246">
      <w:pPr>
        <w:ind w:right="954"/>
        <w:rPr>
          <w:rFonts w:ascii="Times New Roman" w:hAnsi="Times New Roman" w:cs="Times New Roman"/>
          <w:b/>
          <w:bCs/>
          <w:noProof/>
          <w:sz w:val="20"/>
          <w:szCs w:val="20"/>
        </w:rPr>
      </w:pPr>
    </w:p>
    <w:p w14:paraId="360403A1" w14:textId="77777777" w:rsidR="006778DC" w:rsidRDefault="006778DC" w:rsidP="00DA3246">
      <w:pPr>
        <w:ind w:right="954"/>
        <w:rPr>
          <w:rFonts w:ascii="Times New Roman" w:hAnsi="Times New Roman" w:cs="Times New Roman"/>
          <w:b/>
          <w:bCs/>
          <w:noProof/>
          <w:sz w:val="20"/>
          <w:szCs w:val="20"/>
        </w:rPr>
      </w:pPr>
    </w:p>
    <w:p w14:paraId="0DBD1AD3" w14:textId="6B333C38" w:rsidR="006778DC" w:rsidRDefault="006778DC" w:rsidP="00DA3246">
      <w:pPr>
        <w:ind w:right="954"/>
        <w:rPr>
          <w:rFonts w:ascii="Times New Roman" w:hAnsi="Times New Roman" w:cs="Times New Roman"/>
          <w:b/>
          <w:bCs/>
          <w:noProof/>
          <w:sz w:val="20"/>
          <w:szCs w:val="20"/>
        </w:rPr>
      </w:pPr>
    </w:p>
    <w:p w14:paraId="5B70073C" w14:textId="17FEDFD8" w:rsidR="006778DC" w:rsidRDefault="006778DC" w:rsidP="00DA3246">
      <w:pPr>
        <w:ind w:right="954"/>
        <w:rPr>
          <w:rFonts w:ascii="Times New Roman" w:hAnsi="Times New Roman" w:cs="Times New Roman"/>
          <w:b/>
          <w:bCs/>
          <w:noProof/>
          <w:sz w:val="20"/>
          <w:szCs w:val="20"/>
        </w:rPr>
      </w:pPr>
    </w:p>
    <w:p w14:paraId="2EBA7B35" w14:textId="27DE3192" w:rsidR="003B241C" w:rsidRDefault="00E01125">
      <w:r w:rsidRPr="006778DC">
        <w:rPr>
          <w:rFonts w:ascii="Times New Roman" w:hAnsi="Times New Roman" w:cs="Times New Roman"/>
          <w:b/>
          <w:bCs/>
          <w:noProof/>
          <w:sz w:val="20"/>
          <w:szCs w:val="20"/>
        </w:rPr>
        <mc:AlternateContent>
          <mc:Choice Requires="wps">
            <w:drawing>
              <wp:anchor distT="45720" distB="45720" distL="114300" distR="114300" simplePos="0" relativeHeight="251662336" behindDoc="0" locked="0" layoutInCell="1" allowOverlap="1" wp14:anchorId="738288CF" wp14:editId="023DA0A3">
                <wp:simplePos x="0" y="0"/>
                <wp:positionH relativeFrom="column">
                  <wp:posOffset>4520565</wp:posOffset>
                </wp:positionH>
                <wp:positionV relativeFrom="paragraph">
                  <wp:posOffset>408940</wp:posOffset>
                </wp:positionV>
                <wp:extent cx="2304415" cy="2047875"/>
                <wp:effectExtent l="0" t="0" r="1968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047875"/>
                        </a:xfrm>
                        <a:prstGeom prst="rect">
                          <a:avLst/>
                        </a:prstGeom>
                        <a:solidFill>
                          <a:srgbClr val="FFFFFF"/>
                        </a:solidFill>
                        <a:ln w="9525">
                          <a:solidFill>
                            <a:srgbClr val="000000"/>
                          </a:solidFill>
                          <a:miter lim="800000"/>
                          <a:headEnd/>
                          <a:tailEnd/>
                        </a:ln>
                      </wps:spPr>
                      <wps:txbx>
                        <w:txbxContent>
                          <w:p w14:paraId="263CBA08" w14:textId="7049EEC0" w:rsidR="006778DC" w:rsidRDefault="006778DC" w:rsidP="006778DC">
                            <w:pPr>
                              <w:spacing w:after="0" w:line="240" w:lineRule="auto"/>
                              <w:ind w:right="54"/>
                              <w:rPr>
                                <w:rFonts w:ascii="Times New Roman" w:hAnsi="Times New Roman" w:cs="Times New Roman"/>
                                <w:b/>
                                <w:bCs/>
                                <w:color w:val="000000" w:themeColor="text1"/>
                                <w:kern w:val="24"/>
                                <w:sz w:val="20"/>
                                <w:szCs w:val="20"/>
                              </w:rPr>
                            </w:pPr>
                            <w:r>
                              <w:rPr>
                                <w:rFonts w:ascii="Times New Roman" w:hAnsi="Times New Roman" w:cs="Times New Roman"/>
                                <w:b/>
                                <w:bCs/>
                                <w:color w:val="000000" w:themeColor="text1"/>
                                <w:kern w:val="24"/>
                                <w:sz w:val="20"/>
                                <w:szCs w:val="20"/>
                              </w:rPr>
                              <w:t xml:space="preserve">Figure 2. </w:t>
                            </w:r>
                            <w:r w:rsidRPr="00E73B99">
                              <w:rPr>
                                <w:rFonts w:ascii="Times New Roman" w:hAnsi="Times New Roman" w:cs="Times New Roman"/>
                                <w:b/>
                                <w:bCs/>
                                <w:color w:val="000000" w:themeColor="text1"/>
                                <w:kern w:val="24"/>
                                <w:sz w:val="20"/>
                                <w:szCs w:val="20"/>
                              </w:rPr>
                              <w:t>Stocking rates (grazing capacity) and related rainfall zones</w:t>
                            </w:r>
                            <w:r>
                              <w:rPr>
                                <w:rFonts w:ascii="Times New Roman" w:hAnsi="Times New Roman" w:cs="Times New Roman"/>
                                <w:b/>
                                <w:bCs/>
                                <w:color w:val="000000" w:themeColor="text1"/>
                                <w:kern w:val="24"/>
                                <w:sz w:val="20"/>
                                <w:szCs w:val="20"/>
                              </w:rPr>
                              <w:t xml:space="preserve"> or regions, </w:t>
                            </w:r>
                            <w:r w:rsidRPr="00E73B99">
                              <w:rPr>
                                <w:rFonts w:ascii="Times New Roman" w:hAnsi="Times New Roman" w:cs="Times New Roman"/>
                                <w:b/>
                                <w:bCs/>
                                <w:color w:val="000000" w:themeColor="text1"/>
                                <w:kern w:val="24"/>
                                <w:sz w:val="20"/>
                                <w:szCs w:val="20"/>
                              </w:rPr>
                              <w:t>in San Luis Obispo County</w:t>
                            </w:r>
                            <w:r w:rsidR="00E01125">
                              <w:rPr>
                                <w:rFonts w:ascii="Times New Roman" w:hAnsi="Times New Roman" w:cs="Times New Roman"/>
                                <w:b/>
                                <w:bCs/>
                                <w:color w:val="000000" w:themeColor="text1"/>
                                <w:kern w:val="24"/>
                                <w:sz w:val="20"/>
                                <w:szCs w:val="20"/>
                              </w:rPr>
                              <w:t>.</w:t>
                            </w:r>
                            <w:r w:rsidRPr="00E73B99">
                              <w:rPr>
                                <w:rFonts w:ascii="Times New Roman" w:hAnsi="Times New Roman" w:cs="Times New Roman"/>
                                <w:b/>
                                <w:bCs/>
                                <w:color w:val="000000" w:themeColor="text1"/>
                                <w:kern w:val="24"/>
                                <w:sz w:val="20"/>
                                <w:szCs w:val="20"/>
                              </w:rPr>
                              <w:t xml:space="preserve"> </w:t>
                            </w:r>
                            <w:r w:rsidRPr="00E73B99">
                              <w:rPr>
                                <w:rFonts w:ascii="Times New Roman" w:hAnsi="Times New Roman" w:cs="Times New Roman"/>
                                <w:b/>
                                <w:bCs/>
                                <w:sz w:val="20"/>
                                <w:szCs w:val="20"/>
                              </w:rPr>
                              <w:t xml:space="preserve">This division is defined as: 1) coastal zone (greater than 20 inches; 8-15 acres per animal unit year (ac/AUY), 2) central zone (between 20 and 12 inches; 15-30 ac/AUY), and 3) eastern zone (less than12 inches; &gt;30 ac/AUY). </w:t>
                            </w:r>
                            <w:r w:rsidRPr="00E73B99">
                              <w:rPr>
                                <w:rFonts w:ascii="Times New Roman" w:hAnsi="Times New Roman" w:cs="Times New Roman"/>
                                <w:b/>
                                <w:bCs/>
                                <w:color w:val="000000" w:themeColor="text1"/>
                                <w:kern w:val="24"/>
                                <w:sz w:val="20"/>
                                <w:szCs w:val="20"/>
                              </w:rPr>
                              <w:t xml:space="preserve"> Definitions: ac = acre, AUY = Animal Unit Year (the amount of forage needed to support a 1,000 </w:t>
                            </w:r>
                            <w:proofErr w:type="spellStart"/>
                            <w:r w:rsidRPr="00E73B99">
                              <w:rPr>
                                <w:rFonts w:ascii="Times New Roman" w:hAnsi="Times New Roman" w:cs="Times New Roman"/>
                                <w:b/>
                                <w:bCs/>
                                <w:color w:val="000000" w:themeColor="text1"/>
                                <w:kern w:val="24"/>
                                <w:sz w:val="20"/>
                                <w:szCs w:val="20"/>
                              </w:rPr>
                              <w:t>lb</w:t>
                            </w:r>
                            <w:proofErr w:type="spellEnd"/>
                            <w:r w:rsidRPr="00E73B99">
                              <w:rPr>
                                <w:rFonts w:ascii="Times New Roman" w:hAnsi="Times New Roman" w:cs="Times New Roman"/>
                                <w:b/>
                                <w:bCs/>
                                <w:color w:val="000000" w:themeColor="text1"/>
                                <w:kern w:val="24"/>
                                <w:sz w:val="20"/>
                                <w:szCs w:val="20"/>
                              </w:rPr>
                              <w:t xml:space="preserve"> cow for one year</w:t>
                            </w:r>
                            <w:r w:rsidR="00E01125">
                              <w:rPr>
                                <w:rFonts w:ascii="Times New Roman" w:hAnsi="Times New Roman" w:cs="Times New Roman"/>
                                <w:b/>
                                <w:bCs/>
                                <w:color w:val="000000" w:themeColor="text1"/>
                                <w:kern w:val="24"/>
                                <w:sz w:val="20"/>
                                <w:szCs w:val="20"/>
                              </w:rPr>
                              <w:t>.</w:t>
                            </w:r>
                            <w:r w:rsidRPr="00E73B99">
                              <w:rPr>
                                <w:rFonts w:ascii="Times New Roman" w:hAnsi="Times New Roman" w:cs="Times New Roman"/>
                                <w:b/>
                                <w:bCs/>
                                <w:color w:val="000000" w:themeColor="text1"/>
                                <w:kern w:val="24"/>
                                <w:sz w:val="20"/>
                                <w:szCs w:val="20"/>
                              </w:rPr>
                              <w:t xml:space="preserve"> </w:t>
                            </w:r>
                          </w:p>
                          <w:p w14:paraId="489885BA" w14:textId="77777777" w:rsidR="006778DC" w:rsidRDefault="006778DC" w:rsidP="006778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288CF" id="_x0000_s1027" type="#_x0000_t202" style="position:absolute;margin-left:355.95pt;margin-top:32.2pt;width:181.45pt;height:161.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">
                <v:textbox>
                  <w:txbxContent>
                    <w:p w14:paraId="263CBA08" w14:textId="7049EEC0" w:rsidR="006778DC" w:rsidRDefault="006778DC" w:rsidP="006778DC">
                      <w:pPr>
                        <w:spacing w:after="0" w:line="240" w:lineRule="auto"/>
                        <w:ind w:right="54"/>
                        <w:rPr>
                          <w:rFonts w:ascii="Times New Roman" w:hAnsi="Times New Roman" w:cs="Times New Roman"/>
                          <w:b/>
                          <w:bCs/>
                          <w:color w:val="000000" w:themeColor="text1"/>
                          <w:kern w:val="24"/>
                          <w:sz w:val="20"/>
                          <w:szCs w:val="20"/>
                        </w:rPr>
                      </w:pPr>
                      <w:r>
                        <w:rPr>
                          <w:rFonts w:ascii="Times New Roman" w:hAnsi="Times New Roman" w:cs="Times New Roman"/>
                          <w:b/>
                          <w:bCs/>
                          <w:color w:val="000000" w:themeColor="text1"/>
                          <w:kern w:val="24"/>
                          <w:sz w:val="20"/>
                          <w:szCs w:val="20"/>
                        </w:rPr>
                        <w:t xml:space="preserve">Figure 2. </w:t>
                      </w:r>
                      <w:r w:rsidRPr="00E73B99">
                        <w:rPr>
                          <w:rFonts w:ascii="Times New Roman" w:hAnsi="Times New Roman" w:cs="Times New Roman"/>
                          <w:b/>
                          <w:bCs/>
                          <w:color w:val="000000" w:themeColor="text1"/>
                          <w:kern w:val="24"/>
                          <w:sz w:val="20"/>
                          <w:szCs w:val="20"/>
                        </w:rPr>
                        <w:t>Stocking rates (grazing capacity) and related rainfall zones</w:t>
                      </w:r>
                      <w:r>
                        <w:rPr>
                          <w:rFonts w:ascii="Times New Roman" w:hAnsi="Times New Roman" w:cs="Times New Roman"/>
                          <w:b/>
                          <w:bCs/>
                          <w:color w:val="000000" w:themeColor="text1"/>
                          <w:kern w:val="24"/>
                          <w:sz w:val="20"/>
                          <w:szCs w:val="20"/>
                        </w:rPr>
                        <w:t xml:space="preserve"> or regions, </w:t>
                      </w:r>
                      <w:r w:rsidRPr="00E73B99">
                        <w:rPr>
                          <w:rFonts w:ascii="Times New Roman" w:hAnsi="Times New Roman" w:cs="Times New Roman"/>
                          <w:b/>
                          <w:bCs/>
                          <w:color w:val="000000" w:themeColor="text1"/>
                          <w:kern w:val="24"/>
                          <w:sz w:val="20"/>
                          <w:szCs w:val="20"/>
                        </w:rPr>
                        <w:t>in San Luis Obispo County</w:t>
                      </w:r>
                      <w:r w:rsidR="00E01125">
                        <w:rPr>
                          <w:rFonts w:ascii="Times New Roman" w:hAnsi="Times New Roman" w:cs="Times New Roman"/>
                          <w:b/>
                          <w:bCs/>
                          <w:color w:val="000000" w:themeColor="text1"/>
                          <w:kern w:val="24"/>
                          <w:sz w:val="20"/>
                          <w:szCs w:val="20"/>
                        </w:rPr>
                        <w:t>.</w:t>
                      </w:r>
                      <w:r w:rsidRPr="00E73B99">
                        <w:rPr>
                          <w:rFonts w:ascii="Times New Roman" w:hAnsi="Times New Roman" w:cs="Times New Roman"/>
                          <w:b/>
                          <w:bCs/>
                          <w:color w:val="000000" w:themeColor="text1"/>
                          <w:kern w:val="24"/>
                          <w:sz w:val="20"/>
                          <w:szCs w:val="20"/>
                        </w:rPr>
                        <w:t xml:space="preserve"> </w:t>
                      </w:r>
                      <w:r w:rsidRPr="00E73B99">
                        <w:rPr>
                          <w:rFonts w:ascii="Times New Roman" w:hAnsi="Times New Roman" w:cs="Times New Roman"/>
                          <w:b/>
                          <w:bCs/>
                          <w:sz w:val="20"/>
                          <w:szCs w:val="20"/>
                        </w:rPr>
                        <w:t xml:space="preserve">This division is defined as: 1) coastal zone (greater than 20 inches; 8-15 acres per animal unit year (ac/AUY), 2) central zone (between 20 and 12 inches; 15-30 ac/AUY), and 3) eastern zone (less than12 inches; &gt;30 ac/AUY). </w:t>
                      </w:r>
                      <w:r w:rsidRPr="00E73B99">
                        <w:rPr>
                          <w:rFonts w:ascii="Times New Roman" w:hAnsi="Times New Roman" w:cs="Times New Roman"/>
                          <w:b/>
                          <w:bCs/>
                          <w:color w:val="000000" w:themeColor="text1"/>
                          <w:kern w:val="24"/>
                          <w:sz w:val="20"/>
                          <w:szCs w:val="20"/>
                        </w:rPr>
                        <w:t xml:space="preserve"> Definitions: ac = acre, AUY = Animal Unit Year (the amount of forage needed to support a 1,000 </w:t>
                      </w:r>
                      <w:proofErr w:type="spellStart"/>
                      <w:r w:rsidRPr="00E73B99">
                        <w:rPr>
                          <w:rFonts w:ascii="Times New Roman" w:hAnsi="Times New Roman" w:cs="Times New Roman"/>
                          <w:b/>
                          <w:bCs/>
                          <w:color w:val="000000" w:themeColor="text1"/>
                          <w:kern w:val="24"/>
                          <w:sz w:val="20"/>
                          <w:szCs w:val="20"/>
                        </w:rPr>
                        <w:t>lb</w:t>
                      </w:r>
                      <w:proofErr w:type="spellEnd"/>
                      <w:r w:rsidRPr="00E73B99">
                        <w:rPr>
                          <w:rFonts w:ascii="Times New Roman" w:hAnsi="Times New Roman" w:cs="Times New Roman"/>
                          <w:b/>
                          <w:bCs/>
                          <w:color w:val="000000" w:themeColor="text1"/>
                          <w:kern w:val="24"/>
                          <w:sz w:val="20"/>
                          <w:szCs w:val="20"/>
                        </w:rPr>
                        <w:t xml:space="preserve"> cow for one year</w:t>
                      </w:r>
                      <w:r w:rsidR="00E01125">
                        <w:rPr>
                          <w:rFonts w:ascii="Times New Roman" w:hAnsi="Times New Roman" w:cs="Times New Roman"/>
                          <w:b/>
                          <w:bCs/>
                          <w:color w:val="000000" w:themeColor="text1"/>
                          <w:kern w:val="24"/>
                          <w:sz w:val="20"/>
                          <w:szCs w:val="20"/>
                        </w:rPr>
                        <w:t>.</w:t>
                      </w:r>
                      <w:r w:rsidRPr="00E73B99">
                        <w:rPr>
                          <w:rFonts w:ascii="Times New Roman" w:hAnsi="Times New Roman" w:cs="Times New Roman"/>
                          <w:b/>
                          <w:bCs/>
                          <w:color w:val="000000" w:themeColor="text1"/>
                          <w:kern w:val="24"/>
                          <w:sz w:val="20"/>
                          <w:szCs w:val="20"/>
                        </w:rPr>
                        <w:t xml:space="preserve"> </w:t>
                      </w:r>
                    </w:p>
                    <w:p w14:paraId="489885BA" w14:textId="77777777" w:rsidR="006778DC" w:rsidRDefault="006778DC" w:rsidP="006778DC"/>
                  </w:txbxContent>
                </v:textbox>
                <w10:wrap type="square"/>
              </v:shape>
            </w:pict>
          </mc:Fallback>
        </mc:AlternateContent>
      </w:r>
      <w:r w:rsidR="003B241C">
        <w:rPr>
          <w:noProof/>
        </w:rPr>
        <w:drawing>
          <wp:inline distT="0" distB="0" distL="0" distR="0" wp14:anchorId="48F3EE75" wp14:editId="259BE556">
            <wp:extent cx="4346516" cy="2999983"/>
            <wp:effectExtent l="0" t="0" r="0" b="0"/>
            <wp:docPr id="1" name="Picture 3" descr="Diagram&#10;&#10;Description automatically generated">
              <a:extLst xmlns:a="http://schemas.openxmlformats.org/drawingml/2006/main">
                <a:ext uri="{FF2B5EF4-FFF2-40B4-BE49-F238E27FC236}">
                  <a16:creationId xmlns:a16="http://schemas.microsoft.com/office/drawing/2014/main" id="{133284E8-20D9-4335-A7B8-2A8203CE4A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Diagram&#10;&#10;Description automatically generated">
                      <a:extLst>
                        <a:ext uri="{FF2B5EF4-FFF2-40B4-BE49-F238E27FC236}">
                          <a16:creationId xmlns:a16="http://schemas.microsoft.com/office/drawing/2014/main" id="{133284E8-20D9-4335-A7B8-2A8203CE4A5A}"/>
                        </a:ext>
                      </a:extLst>
                    </pic:cNvPr>
                    <pic:cNvPicPr>
                      <a:picLocks noChangeAspect="1"/>
                    </pic:cNvPicPr>
                  </pic:nvPicPr>
                  <pic:blipFill>
                    <a:blip r:embed="rId8"/>
                    <a:stretch>
                      <a:fillRect/>
                    </a:stretch>
                  </pic:blipFill>
                  <pic:spPr>
                    <a:xfrm>
                      <a:off x="0" y="0"/>
                      <a:ext cx="4429750" cy="3057431"/>
                    </a:xfrm>
                    <a:prstGeom prst="rect">
                      <a:avLst/>
                    </a:prstGeom>
                  </pic:spPr>
                </pic:pic>
              </a:graphicData>
            </a:graphic>
          </wp:inline>
        </w:drawing>
      </w:r>
    </w:p>
    <w:p w14:paraId="458FD65D" w14:textId="471798C5" w:rsidR="00C04EFC" w:rsidRDefault="00C04EFC" w:rsidP="00C04EFC">
      <w:pPr>
        <w:spacing w:after="0" w:line="240" w:lineRule="auto"/>
        <w:ind w:right="54"/>
        <w:rPr>
          <w:rFonts w:ascii="Times New Roman" w:hAnsi="Times New Roman" w:cs="Times New Roman"/>
          <w:color w:val="000000" w:themeColor="text1"/>
          <w:kern w:val="24"/>
          <w:sz w:val="24"/>
          <w:szCs w:val="24"/>
        </w:rPr>
      </w:pPr>
      <w:r w:rsidRPr="00C04EFC">
        <w:rPr>
          <w:rFonts w:ascii="Times New Roman" w:hAnsi="Times New Roman" w:cs="Times New Roman"/>
          <w:color w:val="000000" w:themeColor="text1"/>
          <w:kern w:val="24"/>
          <w:sz w:val="24"/>
          <w:szCs w:val="24"/>
        </w:rPr>
        <w:lastRenderedPageBreak/>
        <w:t xml:space="preserve">The </w:t>
      </w:r>
      <w:r>
        <w:rPr>
          <w:rFonts w:ascii="Times New Roman" w:hAnsi="Times New Roman" w:cs="Times New Roman"/>
          <w:color w:val="000000" w:themeColor="text1"/>
          <w:kern w:val="24"/>
          <w:sz w:val="24"/>
          <w:szCs w:val="24"/>
        </w:rPr>
        <w:t>amount of forage that grows is strongly related to rainfall amount and timing</w:t>
      </w:r>
      <w:r w:rsidR="003468B0">
        <w:rPr>
          <w:rFonts w:ascii="Times New Roman" w:hAnsi="Times New Roman" w:cs="Times New Roman"/>
          <w:color w:val="000000" w:themeColor="text1"/>
          <w:kern w:val="24"/>
          <w:sz w:val="24"/>
          <w:szCs w:val="24"/>
        </w:rPr>
        <w:t xml:space="preserve"> and changes each year</w:t>
      </w:r>
      <w:r>
        <w:rPr>
          <w:rFonts w:ascii="Times New Roman" w:hAnsi="Times New Roman" w:cs="Times New Roman"/>
          <w:color w:val="000000" w:themeColor="text1"/>
          <w:kern w:val="24"/>
          <w:sz w:val="24"/>
          <w:szCs w:val="24"/>
        </w:rPr>
        <w:t xml:space="preserve"> Figure 3. The forage losses are based on the average production for each zone (region). The average for the coastal zone is 3868, central zone is 2548, and the eastern zone is 1401 pounds per acre, respectively</w:t>
      </w:r>
      <w:r w:rsidR="00344ABC">
        <w:rPr>
          <w:rFonts w:ascii="Times New Roman" w:hAnsi="Times New Roman" w:cs="Times New Roman"/>
          <w:color w:val="000000" w:themeColor="text1"/>
          <w:kern w:val="24"/>
          <w:sz w:val="24"/>
          <w:szCs w:val="24"/>
        </w:rPr>
        <w:t>, Figure 4</w:t>
      </w:r>
      <w:r>
        <w:rPr>
          <w:rFonts w:ascii="Times New Roman" w:hAnsi="Times New Roman" w:cs="Times New Roman"/>
          <w:color w:val="000000" w:themeColor="text1"/>
          <w:kern w:val="24"/>
          <w:sz w:val="24"/>
          <w:szCs w:val="24"/>
        </w:rPr>
        <w:t xml:space="preserve">. </w:t>
      </w:r>
      <w:r w:rsidR="00344ABC">
        <w:rPr>
          <w:rFonts w:ascii="Times New Roman" w:hAnsi="Times New Roman" w:cs="Times New Roman"/>
          <w:color w:val="000000" w:themeColor="text1"/>
          <w:kern w:val="24"/>
          <w:sz w:val="24"/>
          <w:szCs w:val="24"/>
        </w:rPr>
        <w:t>Losses this year were: Coastal 48%, Central 77%, and Eastern 91%.</w:t>
      </w:r>
    </w:p>
    <w:p w14:paraId="6E218101" w14:textId="611A6E2E" w:rsidR="00EE2DB6" w:rsidRDefault="00EE2DB6" w:rsidP="00C04EFC">
      <w:pPr>
        <w:spacing w:after="0" w:line="240" w:lineRule="auto"/>
        <w:ind w:right="54"/>
        <w:rPr>
          <w:rFonts w:ascii="Times New Roman" w:hAnsi="Times New Roman" w:cs="Times New Roman"/>
          <w:color w:val="000000" w:themeColor="text1"/>
          <w:kern w:val="24"/>
          <w:sz w:val="24"/>
          <w:szCs w:val="24"/>
        </w:rPr>
      </w:pPr>
    </w:p>
    <w:p w14:paraId="291D8B6C" w14:textId="6149B23C" w:rsidR="00EE2DB6" w:rsidRDefault="00EE2DB6" w:rsidP="00EE2DB6">
      <w:pPr>
        <w:spacing w:after="0" w:line="240" w:lineRule="auto"/>
        <w:ind w:right="54"/>
        <w:rPr>
          <w:rFonts w:ascii="Times New Roman" w:hAnsi="Times New Roman" w:cs="Times New Roman"/>
          <w:b/>
          <w:bCs/>
        </w:rPr>
      </w:pPr>
      <w:r>
        <w:rPr>
          <w:noProof/>
        </w:rPr>
        <w:drawing>
          <wp:anchor distT="0" distB="0" distL="114300" distR="114300" simplePos="0" relativeHeight="251665408" behindDoc="0" locked="0" layoutInCell="1" allowOverlap="1" wp14:anchorId="56721FC6" wp14:editId="10B3FE61">
            <wp:simplePos x="0" y="0"/>
            <wp:positionH relativeFrom="margin">
              <wp:align>left</wp:align>
            </wp:positionH>
            <wp:positionV relativeFrom="paragraph">
              <wp:posOffset>4984</wp:posOffset>
            </wp:positionV>
            <wp:extent cx="4772025" cy="3488055"/>
            <wp:effectExtent l="0" t="0" r="9525" b="17145"/>
            <wp:wrapSquare wrapText="bothSides"/>
            <wp:docPr id="3" name="Chart 3">
              <a:extLst xmlns:a="http://schemas.openxmlformats.org/drawingml/2006/main">
                <a:ext uri="{FF2B5EF4-FFF2-40B4-BE49-F238E27FC236}">
                  <a16:creationId xmlns:a16="http://schemas.microsoft.com/office/drawing/2014/main" id="{4D3D4F7A-4812-43AB-8109-002DD3F195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14:paraId="63478887" w14:textId="4A4D8FFD" w:rsidR="00344ABC" w:rsidRDefault="00344ABC" w:rsidP="00EE2DB6">
      <w:pPr>
        <w:spacing w:after="0" w:line="240" w:lineRule="auto"/>
        <w:ind w:right="54"/>
        <w:rPr>
          <w:rFonts w:ascii="Times New Roman" w:hAnsi="Times New Roman" w:cs="Times New Roman"/>
          <w:b/>
          <w:bCs/>
        </w:rPr>
      </w:pPr>
    </w:p>
    <w:p w14:paraId="1C99BACC" w14:textId="509FEE70" w:rsidR="00344ABC" w:rsidRDefault="00344ABC" w:rsidP="00EE2DB6">
      <w:pPr>
        <w:spacing w:after="0" w:line="240" w:lineRule="auto"/>
        <w:ind w:right="54"/>
        <w:rPr>
          <w:rFonts w:ascii="Times New Roman" w:hAnsi="Times New Roman" w:cs="Times New Roman"/>
          <w:b/>
          <w:bCs/>
        </w:rPr>
      </w:pPr>
    </w:p>
    <w:p w14:paraId="228B1FB9" w14:textId="3222D461" w:rsidR="00344ABC" w:rsidRDefault="00344ABC" w:rsidP="00EE2DB6">
      <w:pPr>
        <w:spacing w:after="0" w:line="240" w:lineRule="auto"/>
        <w:ind w:right="54"/>
        <w:rPr>
          <w:rFonts w:ascii="Times New Roman" w:hAnsi="Times New Roman" w:cs="Times New Roman"/>
          <w:b/>
          <w:bCs/>
        </w:rPr>
      </w:pPr>
      <w:r w:rsidRPr="006778DC">
        <w:rPr>
          <w:rFonts w:ascii="Times New Roman" w:hAnsi="Times New Roman" w:cs="Times New Roman"/>
          <w:b/>
          <w:bCs/>
          <w:noProof/>
          <w:sz w:val="20"/>
          <w:szCs w:val="20"/>
        </w:rPr>
        <mc:AlternateContent>
          <mc:Choice Requires="wps">
            <w:drawing>
              <wp:anchor distT="45720" distB="45720" distL="114300" distR="114300" simplePos="0" relativeHeight="251672576" behindDoc="0" locked="0" layoutInCell="1" allowOverlap="1" wp14:anchorId="7D3A5BC2" wp14:editId="42DF2F77">
                <wp:simplePos x="0" y="0"/>
                <wp:positionH relativeFrom="page">
                  <wp:posOffset>5535930</wp:posOffset>
                </wp:positionH>
                <wp:positionV relativeFrom="paragraph">
                  <wp:posOffset>207645</wp:posOffset>
                </wp:positionV>
                <wp:extent cx="1960245" cy="594360"/>
                <wp:effectExtent l="0" t="0" r="20955" b="152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245" cy="594360"/>
                        </a:xfrm>
                        <a:prstGeom prst="rect">
                          <a:avLst/>
                        </a:prstGeom>
                        <a:solidFill>
                          <a:srgbClr val="FFFFFF"/>
                        </a:solidFill>
                        <a:ln w="9525">
                          <a:solidFill>
                            <a:srgbClr val="000000"/>
                          </a:solidFill>
                          <a:miter lim="800000"/>
                          <a:headEnd/>
                          <a:tailEnd/>
                        </a:ln>
                      </wps:spPr>
                      <wps:txbx>
                        <w:txbxContent>
                          <w:p w14:paraId="3692EDD2" w14:textId="49340ACF" w:rsidR="00344ABC" w:rsidRDefault="00344ABC" w:rsidP="00344ABC">
                            <w:pPr>
                              <w:spacing w:after="0" w:line="240" w:lineRule="auto"/>
                              <w:ind w:right="54"/>
                              <w:rPr>
                                <w:rFonts w:ascii="Times New Roman" w:hAnsi="Times New Roman" w:cs="Times New Roman"/>
                                <w:b/>
                                <w:bCs/>
                                <w:color w:val="000000" w:themeColor="text1"/>
                                <w:kern w:val="24"/>
                                <w:sz w:val="20"/>
                                <w:szCs w:val="20"/>
                              </w:rPr>
                            </w:pPr>
                            <w:r>
                              <w:rPr>
                                <w:rFonts w:ascii="Times New Roman" w:hAnsi="Times New Roman" w:cs="Times New Roman"/>
                                <w:b/>
                                <w:bCs/>
                                <w:color w:val="000000" w:themeColor="text1"/>
                                <w:kern w:val="24"/>
                                <w:sz w:val="20"/>
                                <w:szCs w:val="20"/>
                              </w:rPr>
                              <w:t>Figure 3. Forage production by zone (region) for 2001-2022.</w:t>
                            </w:r>
                            <w:r w:rsidRPr="00E73B99">
                              <w:rPr>
                                <w:rFonts w:ascii="Times New Roman" w:hAnsi="Times New Roman" w:cs="Times New Roman"/>
                                <w:b/>
                                <w:bCs/>
                                <w:color w:val="000000" w:themeColor="text1"/>
                                <w:kern w:val="24"/>
                                <w:sz w:val="20"/>
                                <w:szCs w:val="20"/>
                              </w:rPr>
                              <w:t xml:space="preserve"> </w:t>
                            </w:r>
                          </w:p>
                          <w:p w14:paraId="3DBA60DD" w14:textId="77777777" w:rsidR="00344ABC" w:rsidRDefault="00344ABC" w:rsidP="00344A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3A5BC2" id="_x0000_s1028" type="#_x0000_t202" style="position:absolute;margin-left:435.9pt;margin-top:16.35pt;width:154.35pt;height:46.8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">
                <v:textbox>
                  <w:txbxContent>
                    <w:p w14:paraId="3692EDD2" w14:textId="49340ACF" w:rsidR="00344ABC" w:rsidRDefault="00344ABC" w:rsidP="00344ABC">
                      <w:pPr>
                        <w:spacing w:after="0" w:line="240" w:lineRule="auto"/>
                        <w:ind w:right="54"/>
                        <w:rPr>
                          <w:rFonts w:ascii="Times New Roman" w:hAnsi="Times New Roman" w:cs="Times New Roman"/>
                          <w:b/>
                          <w:bCs/>
                          <w:color w:val="000000" w:themeColor="text1"/>
                          <w:kern w:val="24"/>
                          <w:sz w:val="20"/>
                          <w:szCs w:val="20"/>
                        </w:rPr>
                      </w:pPr>
                      <w:r>
                        <w:rPr>
                          <w:rFonts w:ascii="Times New Roman" w:hAnsi="Times New Roman" w:cs="Times New Roman"/>
                          <w:b/>
                          <w:bCs/>
                          <w:color w:val="000000" w:themeColor="text1"/>
                          <w:kern w:val="24"/>
                          <w:sz w:val="20"/>
                          <w:szCs w:val="20"/>
                        </w:rPr>
                        <w:t>Figure 3. Forage production by zone (region) for 2001-2022.</w:t>
                      </w:r>
                      <w:r w:rsidRPr="00E73B99">
                        <w:rPr>
                          <w:rFonts w:ascii="Times New Roman" w:hAnsi="Times New Roman" w:cs="Times New Roman"/>
                          <w:b/>
                          <w:bCs/>
                          <w:color w:val="000000" w:themeColor="text1"/>
                          <w:kern w:val="24"/>
                          <w:sz w:val="20"/>
                          <w:szCs w:val="20"/>
                        </w:rPr>
                        <w:t xml:space="preserve"> </w:t>
                      </w:r>
                    </w:p>
                    <w:p w14:paraId="3DBA60DD" w14:textId="77777777" w:rsidR="00344ABC" w:rsidRDefault="00344ABC" w:rsidP="00344ABC"/>
                  </w:txbxContent>
                </v:textbox>
                <w10:wrap type="square" anchorx="page"/>
              </v:shape>
            </w:pict>
          </mc:Fallback>
        </mc:AlternateContent>
      </w:r>
    </w:p>
    <w:p w14:paraId="70472F5F" w14:textId="75F141B3" w:rsidR="00344ABC" w:rsidRDefault="00344ABC" w:rsidP="00EE2DB6">
      <w:pPr>
        <w:spacing w:after="0" w:line="240" w:lineRule="auto"/>
        <w:ind w:right="54"/>
        <w:rPr>
          <w:rFonts w:ascii="Times New Roman" w:hAnsi="Times New Roman" w:cs="Times New Roman"/>
          <w:b/>
          <w:bCs/>
        </w:rPr>
      </w:pPr>
    </w:p>
    <w:p w14:paraId="43726956" w14:textId="173FE515" w:rsidR="00344ABC" w:rsidRDefault="00344ABC" w:rsidP="00EE2DB6">
      <w:pPr>
        <w:spacing w:after="0" w:line="240" w:lineRule="auto"/>
        <w:ind w:right="54"/>
        <w:rPr>
          <w:rFonts w:ascii="Times New Roman" w:hAnsi="Times New Roman" w:cs="Times New Roman"/>
          <w:b/>
          <w:bCs/>
        </w:rPr>
      </w:pPr>
    </w:p>
    <w:p w14:paraId="09440C22" w14:textId="77777777" w:rsidR="00344ABC" w:rsidRDefault="00344ABC" w:rsidP="00EE2DB6">
      <w:pPr>
        <w:spacing w:after="0" w:line="240" w:lineRule="auto"/>
        <w:ind w:right="54"/>
        <w:rPr>
          <w:rFonts w:ascii="Times New Roman" w:hAnsi="Times New Roman" w:cs="Times New Roman"/>
          <w:b/>
          <w:bCs/>
        </w:rPr>
      </w:pPr>
    </w:p>
    <w:p w14:paraId="107855F1" w14:textId="77777777" w:rsidR="00EE2DB6" w:rsidRDefault="00EE2DB6">
      <w:pPr>
        <w:rPr>
          <w:rFonts w:ascii="Times New Roman" w:hAnsi="Times New Roman" w:cs="Times New Roman"/>
          <w:b/>
          <w:bCs/>
        </w:rPr>
      </w:pPr>
    </w:p>
    <w:p w14:paraId="69C996B2" w14:textId="77777777" w:rsidR="00EE2DB6" w:rsidRDefault="00EE2DB6">
      <w:pPr>
        <w:rPr>
          <w:rFonts w:ascii="Times New Roman" w:hAnsi="Times New Roman" w:cs="Times New Roman"/>
          <w:b/>
          <w:bCs/>
        </w:rPr>
      </w:pPr>
    </w:p>
    <w:p w14:paraId="2946D6C5" w14:textId="535C162E" w:rsidR="00EE2DB6" w:rsidRDefault="00EE2DB6">
      <w:pPr>
        <w:rPr>
          <w:rFonts w:ascii="Times New Roman" w:hAnsi="Times New Roman" w:cs="Times New Roman"/>
          <w:b/>
          <w:bCs/>
        </w:rPr>
      </w:pPr>
    </w:p>
    <w:p w14:paraId="2082041D" w14:textId="77777777" w:rsidR="00EE2DB6" w:rsidRDefault="00EE2DB6">
      <w:pPr>
        <w:rPr>
          <w:rFonts w:ascii="Times New Roman" w:hAnsi="Times New Roman" w:cs="Times New Roman"/>
          <w:b/>
          <w:bCs/>
        </w:rPr>
      </w:pPr>
    </w:p>
    <w:p w14:paraId="78E16FCF" w14:textId="77777777" w:rsidR="00EE2DB6" w:rsidRDefault="00EE2DB6">
      <w:pPr>
        <w:rPr>
          <w:rFonts w:ascii="Times New Roman" w:hAnsi="Times New Roman" w:cs="Times New Roman"/>
          <w:b/>
          <w:bCs/>
        </w:rPr>
      </w:pPr>
    </w:p>
    <w:p w14:paraId="2969D495" w14:textId="77777777" w:rsidR="00EE2DB6" w:rsidRDefault="00EE2DB6">
      <w:pPr>
        <w:rPr>
          <w:rFonts w:ascii="Times New Roman" w:hAnsi="Times New Roman" w:cs="Times New Roman"/>
          <w:b/>
          <w:bCs/>
        </w:rPr>
      </w:pPr>
    </w:p>
    <w:p w14:paraId="21438465" w14:textId="5317C085" w:rsidR="00344ABC" w:rsidRDefault="00231416">
      <w:pPr>
        <w:rPr>
          <w:rFonts w:ascii="Times New Roman" w:hAnsi="Times New Roman" w:cs="Times New Roman"/>
          <w:b/>
          <w:bCs/>
        </w:rPr>
      </w:pPr>
      <w:r>
        <w:rPr>
          <w:noProof/>
        </w:rPr>
        <w:drawing>
          <wp:anchor distT="0" distB="0" distL="114300" distR="114300" simplePos="0" relativeHeight="251668480" behindDoc="0" locked="0" layoutInCell="1" allowOverlap="1" wp14:anchorId="0AB2A258" wp14:editId="2EBEC46B">
            <wp:simplePos x="0" y="0"/>
            <wp:positionH relativeFrom="margin">
              <wp:posOffset>43841</wp:posOffset>
            </wp:positionH>
            <wp:positionV relativeFrom="paragraph">
              <wp:posOffset>186490</wp:posOffset>
            </wp:positionV>
            <wp:extent cx="4815840" cy="2623820"/>
            <wp:effectExtent l="0" t="0" r="3810" b="5080"/>
            <wp:wrapSquare wrapText="bothSides"/>
            <wp:docPr id="7" name="Chart 7">
              <a:extLst xmlns:a="http://schemas.openxmlformats.org/drawingml/2006/main">
                <a:ext uri="{FF2B5EF4-FFF2-40B4-BE49-F238E27FC236}">
                  <a16:creationId xmlns:a16="http://schemas.microsoft.com/office/drawing/2014/main" id="{EB2663A8-99B6-4F51-8F4F-AF28BE4A7B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7141F285" w14:textId="60213C5A" w:rsidR="00231416" w:rsidRDefault="0088759F">
      <w:pPr>
        <w:rPr>
          <w:rFonts w:ascii="Times New Roman" w:hAnsi="Times New Roman" w:cs="Times New Roman"/>
          <w:b/>
          <w:bCs/>
        </w:rPr>
      </w:pPr>
      <w:r w:rsidRPr="0088759F">
        <w:rPr>
          <w:rFonts w:ascii="Times New Roman" w:hAnsi="Times New Roman" w:cs="Times New Roman"/>
          <w:b/>
          <w:bCs/>
          <w:noProof/>
        </w:rPr>
        <mc:AlternateContent>
          <mc:Choice Requires="wps">
            <w:drawing>
              <wp:anchor distT="45720" distB="45720" distL="114300" distR="114300" simplePos="0" relativeHeight="251676672" behindDoc="0" locked="0" layoutInCell="1" allowOverlap="1" wp14:anchorId="76152F6B" wp14:editId="23CC024E">
                <wp:simplePos x="0" y="0"/>
                <wp:positionH relativeFrom="column">
                  <wp:posOffset>2866233</wp:posOffset>
                </wp:positionH>
                <wp:positionV relativeFrom="paragraph">
                  <wp:posOffset>560096</wp:posOffset>
                </wp:positionV>
                <wp:extent cx="1866265" cy="1404620"/>
                <wp:effectExtent l="0" t="0" r="19685" b="139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265" cy="1404620"/>
                        </a:xfrm>
                        <a:prstGeom prst="rect">
                          <a:avLst/>
                        </a:prstGeom>
                        <a:solidFill>
                          <a:srgbClr val="FFFFFF"/>
                        </a:solidFill>
                        <a:ln w="9525">
                          <a:solidFill>
                            <a:srgbClr val="000000"/>
                          </a:solidFill>
                          <a:miter lim="800000"/>
                          <a:headEnd/>
                          <a:tailEnd/>
                        </a:ln>
                      </wps:spPr>
                      <wps:txbx>
                        <w:txbxContent>
                          <w:p w14:paraId="5CB9D4B0" w14:textId="7CACAD34" w:rsidR="0088759F" w:rsidRPr="0088759F" w:rsidRDefault="0088759F">
                            <w:pPr>
                              <w:rPr>
                                <w:b/>
                                <w:bCs/>
                              </w:rPr>
                            </w:pPr>
                            <w:r w:rsidRPr="0088759F">
                              <w:rPr>
                                <w:b/>
                                <w:bCs/>
                              </w:rPr>
                              <w:t xml:space="preserve">All values are in </w:t>
                            </w:r>
                            <w:proofErr w:type="spellStart"/>
                            <w:r w:rsidRPr="0088759F">
                              <w:rPr>
                                <w:b/>
                                <w:bCs/>
                              </w:rPr>
                              <w:t>lb</w:t>
                            </w:r>
                            <w:proofErr w:type="spellEnd"/>
                            <w:r w:rsidRPr="0088759F">
                              <w:rPr>
                                <w:b/>
                                <w:bCs/>
                              </w:rPr>
                              <w:t>/ac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152F6B" id="_x0000_s1029" type="#_x0000_t202" style="position:absolute;margin-left:225.7pt;margin-top:44.1pt;width:146.9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">
                <v:textbox style="mso-fit-shape-to-text:t">
                  <w:txbxContent>
                    <w:p w14:paraId="5CB9D4B0" w14:textId="7CACAD34" w:rsidR="0088759F" w:rsidRPr="0088759F" w:rsidRDefault="0088759F">
                      <w:pPr>
                        <w:rPr>
                          <w:b/>
                          <w:bCs/>
                        </w:rPr>
                      </w:pPr>
                      <w:r w:rsidRPr="0088759F">
                        <w:rPr>
                          <w:b/>
                          <w:bCs/>
                        </w:rPr>
                        <w:t xml:space="preserve">All values are in </w:t>
                      </w:r>
                      <w:proofErr w:type="spellStart"/>
                      <w:r w:rsidRPr="0088759F">
                        <w:rPr>
                          <w:b/>
                          <w:bCs/>
                        </w:rPr>
                        <w:t>lb</w:t>
                      </w:r>
                      <w:proofErr w:type="spellEnd"/>
                      <w:r w:rsidRPr="0088759F">
                        <w:rPr>
                          <w:b/>
                          <w:bCs/>
                        </w:rPr>
                        <w:t>/ac</w:t>
                      </w:r>
                    </w:p>
                  </w:txbxContent>
                </v:textbox>
                <w10:wrap type="square"/>
              </v:shape>
            </w:pict>
          </mc:Fallback>
        </mc:AlternateContent>
      </w:r>
      <w:r w:rsidR="00231416" w:rsidRPr="006778DC">
        <w:rPr>
          <w:rFonts w:ascii="Times New Roman" w:hAnsi="Times New Roman" w:cs="Times New Roman"/>
          <w:b/>
          <w:bCs/>
          <w:noProof/>
          <w:sz w:val="20"/>
          <w:szCs w:val="20"/>
        </w:rPr>
        <mc:AlternateContent>
          <mc:Choice Requires="wps">
            <w:drawing>
              <wp:anchor distT="45720" distB="45720" distL="114300" distR="114300" simplePos="0" relativeHeight="251674624" behindDoc="0" locked="0" layoutInCell="1" allowOverlap="1" wp14:anchorId="2AF66D71" wp14:editId="4AD15E25">
                <wp:simplePos x="0" y="0"/>
                <wp:positionH relativeFrom="page">
                  <wp:posOffset>5574030</wp:posOffset>
                </wp:positionH>
                <wp:positionV relativeFrom="paragraph">
                  <wp:posOffset>320675</wp:posOffset>
                </wp:positionV>
                <wp:extent cx="1960245" cy="1515110"/>
                <wp:effectExtent l="0" t="0" r="20955" b="279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245" cy="1515110"/>
                        </a:xfrm>
                        <a:prstGeom prst="rect">
                          <a:avLst/>
                        </a:prstGeom>
                        <a:solidFill>
                          <a:srgbClr val="FFFFFF"/>
                        </a:solidFill>
                        <a:ln w="9525">
                          <a:solidFill>
                            <a:srgbClr val="000000"/>
                          </a:solidFill>
                          <a:miter lim="800000"/>
                          <a:headEnd/>
                          <a:tailEnd/>
                        </a:ln>
                      </wps:spPr>
                      <wps:txbx>
                        <w:txbxContent>
                          <w:p w14:paraId="3F4C1E54" w14:textId="2A4579AF" w:rsidR="00231416" w:rsidRDefault="00231416" w:rsidP="00231416">
                            <w:pPr>
                              <w:spacing w:after="0" w:line="240" w:lineRule="auto"/>
                              <w:ind w:right="54"/>
                              <w:rPr>
                                <w:rFonts w:ascii="Times New Roman" w:hAnsi="Times New Roman" w:cs="Times New Roman"/>
                                <w:b/>
                                <w:bCs/>
                                <w:color w:val="000000" w:themeColor="text1"/>
                                <w:kern w:val="24"/>
                                <w:sz w:val="20"/>
                                <w:szCs w:val="20"/>
                              </w:rPr>
                            </w:pPr>
                            <w:r>
                              <w:rPr>
                                <w:rFonts w:ascii="Times New Roman" w:hAnsi="Times New Roman" w:cs="Times New Roman"/>
                                <w:b/>
                                <w:bCs/>
                                <w:color w:val="000000" w:themeColor="text1"/>
                                <w:kern w:val="24"/>
                                <w:sz w:val="20"/>
                                <w:szCs w:val="20"/>
                              </w:rPr>
                              <w:t>Figure 4. Average forage production by zone based on our monitoring sites</w:t>
                            </w:r>
                            <w:r w:rsidR="005D65C7">
                              <w:rPr>
                                <w:rFonts w:ascii="Times New Roman" w:hAnsi="Times New Roman" w:cs="Times New Roman"/>
                                <w:b/>
                                <w:bCs/>
                                <w:color w:val="000000" w:themeColor="text1"/>
                                <w:kern w:val="24"/>
                                <w:sz w:val="20"/>
                                <w:szCs w:val="20"/>
                              </w:rPr>
                              <w:t xml:space="preserve">. This graph shows the </w:t>
                            </w:r>
                            <w:r>
                              <w:rPr>
                                <w:rFonts w:ascii="Times New Roman" w:hAnsi="Times New Roman" w:cs="Times New Roman"/>
                                <w:b/>
                                <w:bCs/>
                                <w:color w:val="000000" w:themeColor="text1"/>
                                <w:kern w:val="24"/>
                                <w:sz w:val="20"/>
                                <w:szCs w:val="20"/>
                              </w:rPr>
                              <w:t>expected production in pounds per acre</w:t>
                            </w:r>
                            <w:r w:rsidR="005D65C7">
                              <w:rPr>
                                <w:rFonts w:ascii="Times New Roman" w:hAnsi="Times New Roman" w:cs="Times New Roman"/>
                                <w:b/>
                                <w:bCs/>
                                <w:color w:val="000000" w:themeColor="text1"/>
                                <w:kern w:val="24"/>
                                <w:sz w:val="20"/>
                                <w:szCs w:val="20"/>
                              </w:rPr>
                              <w:t xml:space="preserve">, and what was measured this year from our monitoring sites. Averaged for each zone (region). </w:t>
                            </w:r>
                            <w:r>
                              <w:rPr>
                                <w:rFonts w:ascii="Times New Roman" w:hAnsi="Times New Roman" w:cs="Times New Roman"/>
                                <w:b/>
                                <w:bCs/>
                                <w:color w:val="000000" w:themeColor="text1"/>
                                <w:kern w:val="24"/>
                                <w:sz w:val="20"/>
                                <w:szCs w:val="20"/>
                              </w:rPr>
                              <w:t xml:space="preserve">  </w:t>
                            </w:r>
                          </w:p>
                          <w:p w14:paraId="66344891" w14:textId="77777777" w:rsidR="00231416" w:rsidRDefault="00231416" w:rsidP="002314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66D71" id="_x0000_s1030" type="#_x0000_t202" style="position:absolute;margin-left:438.9pt;margin-top:25.25pt;width:154.35pt;height:119.3pt;z-index:2516746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">
                <v:textbox>
                  <w:txbxContent>
                    <w:p w14:paraId="3F4C1E54" w14:textId="2A4579AF" w:rsidR="00231416" w:rsidRDefault="00231416" w:rsidP="00231416">
                      <w:pPr>
                        <w:spacing w:after="0" w:line="240" w:lineRule="auto"/>
                        <w:ind w:right="54"/>
                        <w:rPr>
                          <w:rFonts w:ascii="Times New Roman" w:hAnsi="Times New Roman" w:cs="Times New Roman"/>
                          <w:b/>
                          <w:bCs/>
                          <w:color w:val="000000" w:themeColor="text1"/>
                          <w:kern w:val="24"/>
                          <w:sz w:val="20"/>
                          <w:szCs w:val="20"/>
                        </w:rPr>
                      </w:pPr>
                      <w:r>
                        <w:rPr>
                          <w:rFonts w:ascii="Times New Roman" w:hAnsi="Times New Roman" w:cs="Times New Roman"/>
                          <w:b/>
                          <w:bCs/>
                          <w:color w:val="000000" w:themeColor="text1"/>
                          <w:kern w:val="24"/>
                          <w:sz w:val="20"/>
                          <w:szCs w:val="20"/>
                        </w:rPr>
                        <w:t>Figure 4. Average forage production by zone based on our monitoring sites</w:t>
                      </w:r>
                      <w:r w:rsidR="005D65C7">
                        <w:rPr>
                          <w:rFonts w:ascii="Times New Roman" w:hAnsi="Times New Roman" w:cs="Times New Roman"/>
                          <w:b/>
                          <w:bCs/>
                          <w:color w:val="000000" w:themeColor="text1"/>
                          <w:kern w:val="24"/>
                          <w:sz w:val="20"/>
                          <w:szCs w:val="20"/>
                        </w:rPr>
                        <w:t xml:space="preserve">. This graph shows the </w:t>
                      </w:r>
                      <w:r>
                        <w:rPr>
                          <w:rFonts w:ascii="Times New Roman" w:hAnsi="Times New Roman" w:cs="Times New Roman"/>
                          <w:b/>
                          <w:bCs/>
                          <w:color w:val="000000" w:themeColor="text1"/>
                          <w:kern w:val="24"/>
                          <w:sz w:val="20"/>
                          <w:szCs w:val="20"/>
                        </w:rPr>
                        <w:t>expected production in pounds per acre</w:t>
                      </w:r>
                      <w:r w:rsidR="005D65C7">
                        <w:rPr>
                          <w:rFonts w:ascii="Times New Roman" w:hAnsi="Times New Roman" w:cs="Times New Roman"/>
                          <w:b/>
                          <w:bCs/>
                          <w:color w:val="000000" w:themeColor="text1"/>
                          <w:kern w:val="24"/>
                          <w:sz w:val="20"/>
                          <w:szCs w:val="20"/>
                        </w:rPr>
                        <w:t xml:space="preserve">, and what was measured this year from our monitoring sites. Averaged for each zone (region). </w:t>
                      </w:r>
                      <w:r>
                        <w:rPr>
                          <w:rFonts w:ascii="Times New Roman" w:hAnsi="Times New Roman" w:cs="Times New Roman"/>
                          <w:b/>
                          <w:bCs/>
                          <w:color w:val="000000" w:themeColor="text1"/>
                          <w:kern w:val="24"/>
                          <w:sz w:val="20"/>
                          <w:szCs w:val="20"/>
                        </w:rPr>
                        <w:t xml:space="preserve">  </w:t>
                      </w:r>
                    </w:p>
                    <w:p w14:paraId="66344891" w14:textId="77777777" w:rsidR="00231416" w:rsidRDefault="00231416" w:rsidP="00231416"/>
                  </w:txbxContent>
                </v:textbox>
                <w10:wrap type="square" anchorx="page"/>
              </v:shape>
            </w:pict>
          </mc:Fallback>
        </mc:AlternateContent>
      </w:r>
    </w:p>
    <w:p w14:paraId="02C284BE" w14:textId="77777777" w:rsidR="00231416" w:rsidRDefault="00231416">
      <w:pPr>
        <w:rPr>
          <w:rFonts w:ascii="Times New Roman" w:hAnsi="Times New Roman" w:cs="Times New Roman"/>
          <w:b/>
          <w:bCs/>
        </w:rPr>
      </w:pPr>
    </w:p>
    <w:p w14:paraId="560D1438" w14:textId="77777777" w:rsidR="00231416" w:rsidRDefault="00231416">
      <w:pPr>
        <w:rPr>
          <w:rFonts w:ascii="Times New Roman" w:hAnsi="Times New Roman" w:cs="Times New Roman"/>
          <w:b/>
          <w:bCs/>
        </w:rPr>
      </w:pPr>
    </w:p>
    <w:p w14:paraId="3E66C6F8" w14:textId="77777777" w:rsidR="00231416" w:rsidRDefault="00231416">
      <w:pPr>
        <w:rPr>
          <w:rFonts w:ascii="Times New Roman" w:hAnsi="Times New Roman" w:cs="Times New Roman"/>
          <w:b/>
          <w:bCs/>
        </w:rPr>
      </w:pPr>
    </w:p>
    <w:p w14:paraId="0100B743" w14:textId="7093BE29" w:rsidR="00231416" w:rsidRPr="00E17DE5" w:rsidRDefault="00231416">
      <w:pPr>
        <w:rPr>
          <w:rFonts w:ascii="Times New Roman" w:hAnsi="Times New Roman" w:cs="Times New Roman"/>
          <w:b/>
          <w:bCs/>
          <w:color w:val="FF0000"/>
        </w:rPr>
      </w:pPr>
      <w:r w:rsidRPr="00E17DE5">
        <w:rPr>
          <w:rFonts w:ascii="Times New Roman" w:hAnsi="Times New Roman" w:cs="Times New Roman"/>
          <w:b/>
          <w:bCs/>
          <w:color w:val="FF0000"/>
        </w:rPr>
        <w:t xml:space="preserve">Even though the monitoring sites give a good overview of forage losses for 2021-2022 growing season, they do not cover every ranch and area in the County. Please provide </w:t>
      </w:r>
      <w:r w:rsidR="00CA33BA">
        <w:rPr>
          <w:rFonts w:ascii="Times New Roman" w:hAnsi="Times New Roman" w:cs="Times New Roman"/>
          <w:b/>
          <w:bCs/>
          <w:color w:val="FF0000"/>
        </w:rPr>
        <w:t xml:space="preserve">information for your ranch by </w:t>
      </w:r>
      <w:r w:rsidR="00844FF9">
        <w:rPr>
          <w:rFonts w:ascii="Times New Roman" w:hAnsi="Times New Roman" w:cs="Times New Roman"/>
          <w:b/>
          <w:bCs/>
          <w:color w:val="FF0000"/>
        </w:rPr>
        <w:t>going to this link</w:t>
      </w:r>
      <w:r w:rsidR="00CA33BA">
        <w:rPr>
          <w:rFonts w:ascii="Times New Roman" w:hAnsi="Times New Roman" w:cs="Times New Roman"/>
          <w:b/>
          <w:bCs/>
          <w:color w:val="FF0000"/>
        </w:rPr>
        <w:t xml:space="preserve"> and completing a survey</w:t>
      </w:r>
      <w:r w:rsidR="00844FF9">
        <w:rPr>
          <w:rFonts w:ascii="Times New Roman" w:hAnsi="Times New Roman" w:cs="Times New Roman"/>
          <w:b/>
          <w:bCs/>
          <w:color w:val="FF0000"/>
        </w:rPr>
        <w:t xml:space="preserve">. You will also need to use a code. </w:t>
      </w:r>
      <w:r w:rsidR="009A5E39">
        <w:rPr>
          <w:rFonts w:ascii="Times New Roman" w:hAnsi="Times New Roman" w:cs="Times New Roman"/>
          <w:b/>
          <w:bCs/>
          <w:color w:val="FF0000"/>
        </w:rPr>
        <w:t xml:space="preserve">The code will ensure the accuracy of the data collected. Anonymity for respondents will be maintained. </w:t>
      </w:r>
    </w:p>
    <w:p w14:paraId="28E5E11B" w14:textId="46CA6008" w:rsidR="00231416" w:rsidRPr="009A5E39" w:rsidRDefault="00E17DE5">
      <w:pPr>
        <w:rPr>
          <w:rFonts w:eastAsia="Times New Roman"/>
          <w:b/>
          <w:bCs/>
          <w:color w:val="000000"/>
          <w:sz w:val="24"/>
          <w:szCs w:val="24"/>
          <w:u w:val="single"/>
        </w:rPr>
      </w:pPr>
      <w:r>
        <w:rPr>
          <w:rFonts w:eastAsia="Times New Roman"/>
          <w:color w:val="000000"/>
          <w:sz w:val="24"/>
          <w:szCs w:val="24"/>
        </w:rPr>
        <w:t xml:space="preserve">Link for Survey: </w:t>
      </w:r>
      <w:hyperlink r:id="rId11" w:history="1">
        <w:r>
          <w:rPr>
            <w:rStyle w:val="Hyperlink"/>
            <w:rFonts w:eastAsia="Times New Roman"/>
            <w:sz w:val="24"/>
            <w:szCs w:val="24"/>
          </w:rPr>
          <w:t>https://forms.office.com/g/Am2mib0jgZ</w:t>
        </w:r>
      </w:hyperlink>
      <w:r>
        <w:rPr>
          <w:rFonts w:eastAsia="Times New Roman"/>
          <w:color w:val="000000"/>
          <w:sz w:val="24"/>
          <w:szCs w:val="24"/>
        </w:rPr>
        <w:t xml:space="preserve">   Code is:</w:t>
      </w:r>
      <w:r w:rsidR="009A5E39">
        <w:rPr>
          <w:rFonts w:eastAsia="Times New Roman"/>
          <w:color w:val="000000"/>
          <w:sz w:val="24"/>
          <w:szCs w:val="24"/>
        </w:rPr>
        <w:t xml:space="preserve"> </w:t>
      </w:r>
      <w:r w:rsidR="009A5E39">
        <w:rPr>
          <w:rFonts w:eastAsia="Times New Roman"/>
          <w:b/>
          <w:bCs/>
          <w:color w:val="000000"/>
          <w:sz w:val="24"/>
          <w:szCs w:val="24"/>
          <w:u w:val="single"/>
        </w:rPr>
        <w:t>2022</w:t>
      </w:r>
    </w:p>
    <w:sectPr w:rsidR="00231416" w:rsidRPr="009A5E39" w:rsidSect="0037218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EEF72" w14:textId="77777777" w:rsidR="00FF1637" w:rsidRDefault="00FF1637" w:rsidP="00651122">
      <w:pPr>
        <w:spacing w:after="0" w:line="240" w:lineRule="auto"/>
      </w:pPr>
      <w:r>
        <w:separator/>
      </w:r>
    </w:p>
  </w:endnote>
  <w:endnote w:type="continuationSeparator" w:id="0">
    <w:p w14:paraId="6692DFBB" w14:textId="77777777" w:rsidR="00FF1637" w:rsidRDefault="00FF1637" w:rsidP="00651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0BB32" w14:textId="77777777" w:rsidR="00FF1637" w:rsidRDefault="00FF1637" w:rsidP="00651122">
      <w:pPr>
        <w:spacing w:after="0" w:line="240" w:lineRule="auto"/>
      </w:pPr>
      <w:r>
        <w:separator/>
      </w:r>
    </w:p>
  </w:footnote>
  <w:footnote w:type="continuationSeparator" w:id="0">
    <w:p w14:paraId="148A3228" w14:textId="77777777" w:rsidR="00FF1637" w:rsidRDefault="00FF1637" w:rsidP="006511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2E31BA"/>
    <w:multiLevelType w:val="hybridMultilevel"/>
    <w:tmpl w:val="3C2856D6"/>
    <w:lvl w:ilvl="0" w:tplc="BEC66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2105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94D"/>
    <w:rsid w:val="00013205"/>
    <w:rsid w:val="00065C5F"/>
    <w:rsid w:val="0021694D"/>
    <w:rsid w:val="00231416"/>
    <w:rsid w:val="002B4A88"/>
    <w:rsid w:val="00311C0E"/>
    <w:rsid w:val="00327231"/>
    <w:rsid w:val="00344ABC"/>
    <w:rsid w:val="003468B0"/>
    <w:rsid w:val="00350CE6"/>
    <w:rsid w:val="00372181"/>
    <w:rsid w:val="003B241C"/>
    <w:rsid w:val="003F2A00"/>
    <w:rsid w:val="00413433"/>
    <w:rsid w:val="0047692E"/>
    <w:rsid w:val="004E56A3"/>
    <w:rsid w:val="005D65C7"/>
    <w:rsid w:val="00604DE3"/>
    <w:rsid w:val="00651122"/>
    <w:rsid w:val="00664CBC"/>
    <w:rsid w:val="006778DC"/>
    <w:rsid w:val="006A10B7"/>
    <w:rsid w:val="00842177"/>
    <w:rsid w:val="00844BC1"/>
    <w:rsid w:val="00844FF9"/>
    <w:rsid w:val="0088759F"/>
    <w:rsid w:val="008F5826"/>
    <w:rsid w:val="009A5E39"/>
    <w:rsid w:val="00A06792"/>
    <w:rsid w:val="00A36CC2"/>
    <w:rsid w:val="00AF5238"/>
    <w:rsid w:val="00B45E5D"/>
    <w:rsid w:val="00B577D4"/>
    <w:rsid w:val="00BB0657"/>
    <w:rsid w:val="00C04EFC"/>
    <w:rsid w:val="00C16972"/>
    <w:rsid w:val="00C242BB"/>
    <w:rsid w:val="00C970B4"/>
    <w:rsid w:val="00CA33BA"/>
    <w:rsid w:val="00CC0152"/>
    <w:rsid w:val="00D20AFA"/>
    <w:rsid w:val="00DA3246"/>
    <w:rsid w:val="00E01125"/>
    <w:rsid w:val="00E1234E"/>
    <w:rsid w:val="00E15995"/>
    <w:rsid w:val="00E17DE5"/>
    <w:rsid w:val="00E422F5"/>
    <w:rsid w:val="00E73B99"/>
    <w:rsid w:val="00EE2DB6"/>
    <w:rsid w:val="00F652AF"/>
    <w:rsid w:val="00FF1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52249"/>
  <w15:chartTrackingRefBased/>
  <w15:docId w15:val="{D49996B1-1346-4CA6-AE89-A70CFE91B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3B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0B7"/>
    <w:pPr>
      <w:ind w:left="720"/>
      <w:contextualSpacing/>
    </w:pPr>
  </w:style>
  <w:style w:type="paragraph" w:styleId="FootnoteText">
    <w:name w:val="footnote text"/>
    <w:basedOn w:val="Normal"/>
    <w:link w:val="FootnoteTextChar"/>
    <w:uiPriority w:val="99"/>
    <w:semiHidden/>
    <w:unhideWhenUsed/>
    <w:rsid w:val="006511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1122"/>
    <w:rPr>
      <w:sz w:val="20"/>
      <w:szCs w:val="20"/>
    </w:rPr>
  </w:style>
  <w:style w:type="character" w:styleId="FootnoteReference">
    <w:name w:val="footnote reference"/>
    <w:basedOn w:val="DefaultParagraphFont"/>
    <w:uiPriority w:val="99"/>
    <w:semiHidden/>
    <w:unhideWhenUsed/>
    <w:rsid w:val="00651122"/>
    <w:rPr>
      <w:vertAlign w:val="superscript"/>
    </w:rPr>
  </w:style>
  <w:style w:type="character" w:customStyle="1" w:styleId="Heading1Char">
    <w:name w:val="Heading 1 Char"/>
    <w:basedOn w:val="DefaultParagraphFont"/>
    <w:link w:val="Heading1"/>
    <w:uiPriority w:val="9"/>
    <w:rsid w:val="00E73B9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73B99"/>
    <w:pPr>
      <w:outlineLvl w:val="9"/>
    </w:pPr>
  </w:style>
  <w:style w:type="character" w:styleId="Hyperlink">
    <w:name w:val="Hyperlink"/>
    <w:basedOn w:val="DefaultParagraphFont"/>
    <w:uiPriority w:val="99"/>
    <w:semiHidden/>
    <w:unhideWhenUsed/>
    <w:rsid w:val="00E17D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93995">
      <w:bodyDiv w:val="1"/>
      <w:marLeft w:val="0"/>
      <w:marRight w:val="0"/>
      <w:marTop w:val="0"/>
      <w:marBottom w:val="0"/>
      <w:divBdr>
        <w:top w:val="none" w:sz="0" w:space="0" w:color="auto"/>
        <w:left w:val="none" w:sz="0" w:space="0" w:color="auto"/>
        <w:bottom w:val="none" w:sz="0" w:space="0" w:color="auto"/>
        <w:right w:val="none" w:sz="0" w:space="0" w:color="auto"/>
      </w:divBdr>
    </w:div>
    <w:div w:id="29610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office.com/g/Am2mib0jgZ" TargetMode="Externa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oleObject" Target="file:///C:\Users\relarsen\Documents\aaProjects\1%20A%20A%20PEAK%20FORAGE%20PROJECT\PEAK%20FORAGE%20PRODUCTION%20CENTRAL%20COAS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en-US" sz="1400" b="1" i="0" u="none" strike="noStrike" baseline="0">
                <a:solidFill>
                  <a:srgbClr val="000000"/>
                </a:solidFill>
                <a:latin typeface="Times New Roman" panose="02020603050405020304" pitchFamily="18" charset="0"/>
                <a:cs typeface="Times New Roman" panose="02020603050405020304" pitchFamily="18" charset="0"/>
              </a:rPr>
              <a:t>Available Forage  </a:t>
            </a:r>
          </a:p>
          <a:p>
            <a:pPr>
              <a:defRPr sz="1000" b="0" i="0" u="none" strike="noStrike" baseline="0">
                <a:solidFill>
                  <a:srgbClr val="000000"/>
                </a:solidFill>
                <a:latin typeface="Calibri"/>
                <a:ea typeface="Calibri"/>
                <a:cs typeface="Calibri"/>
              </a:defRPr>
            </a:pPr>
            <a:r>
              <a:rPr lang="en-US" sz="1400" b="1" i="0" u="none" strike="noStrike" baseline="0">
                <a:solidFill>
                  <a:srgbClr val="000000"/>
                </a:solidFill>
                <a:latin typeface="Times New Roman" panose="02020603050405020304" pitchFamily="18" charset="0"/>
                <a:cs typeface="Times New Roman" panose="02020603050405020304" pitchFamily="18" charset="0"/>
              </a:rPr>
              <a:t>San Luis Obispo County 2001 - 2022</a:t>
            </a:r>
          </a:p>
        </c:rich>
      </c:tx>
      <c:layout>
        <c:manualLayout>
          <c:xMode val="edge"/>
          <c:yMode val="edge"/>
          <c:x val="0.28356745825933433"/>
          <c:y val="1.7823973532527442E-2"/>
        </c:manualLayout>
      </c:layout>
      <c:overlay val="0"/>
    </c:title>
    <c:autoTitleDeleted val="0"/>
    <c:view3D>
      <c:rotX val="15"/>
      <c:rotY val="20"/>
      <c:depthPercent val="100"/>
      <c:rAngAx val="0"/>
      <c:perspective val="40"/>
    </c:view3D>
    <c:floor>
      <c:thickness val="0"/>
    </c:floor>
    <c:sideWall>
      <c:thickness val="0"/>
    </c:sideWall>
    <c:backWall>
      <c:thickness val="0"/>
      <c:spPr>
        <a:scene3d>
          <a:camera prst="orthographicFront"/>
          <a:lightRig rig="threePt" dir="t"/>
        </a:scene3d>
        <a:sp3d/>
      </c:spPr>
    </c:backWall>
    <c:plotArea>
      <c:layout>
        <c:manualLayout>
          <c:layoutTarget val="inner"/>
          <c:xMode val="edge"/>
          <c:yMode val="edge"/>
          <c:x val="8.7340293638275765E-2"/>
          <c:y val="0.20292369804538612"/>
          <c:w val="0.84789018966065888"/>
          <c:h val="0.64136512341838448"/>
        </c:manualLayout>
      </c:layout>
      <c:bar3DChart>
        <c:barDir val="col"/>
        <c:grouping val="standard"/>
        <c:varyColors val="0"/>
        <c:ser>
          <c:idx val="0"/>
          <c:order val="0"/>
          <c:tx>
            <c:v>&lt; 12" rainfall</c:v>
          </c:tx>
          <c:spPr>
            <a:solidFill>
              <a:srgbClr val="FFFF00"/>
            </a:solidFill>
          </c:spPr>
          <c:invertIfNegative val="0"/>
          <c:cat>
            <c:numRef>
              <c:f>Main!$D$69:$Y$69</c:f>
              <c:numCache>
                <c:formatCode>General</c:formatCode>
                <c:ptCount val="22"/>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numCache>
            </c:numRef>
          </c:cat>
          <c:val>
            <c:numRef>
              <c:f>Main!$D$72:$Y$72</c:f>
              <c:numCache>
                <c:formatCode>0</c:formatCode>
                <c:ptCount val="22"/>
                <c:pt idx="0">
                  <c:v>1748.5416666666665</c:v>
                </c:pt>
                <c:pt idx="1">
                  <c:v>514.52749999999992</c:v>
                </c:pt>
                <c:pt idx="2">
                  <c:v>1628.25</c:v>
                </c:pt>
                <c:pt idx="3">
                  <c:v>718.90722222222212</c:v>
                </c:pt>
                <c:pt idx="4">
                  <c:v>2300.8333333333335</c:v>
                </c:pt>
                <c:pt idx="5">
                  <c:v>3358.06</c:v>
                </c:pt>
                <c:pt idx="6">
                  <c:v>274.1699999999999</c:v>
                </c:pt>
                <c:pt idx="7">
                  <c:v>1557.2066666666667</c:v>
                </c:pt>
                <c:pt idx="8">
                  <c:v>375.24333333333334</c:v>
                </c:pt>
                <c:pt idx="9">
                  <c:v>2455.9533333333329</c:v>
                </c:pt>
                <c:pt idx="10">
                  <c:v>3311.98</c:v>
                </c:pt>
                <c:pt idx="11">
                  <c:v>1209.4199999999998</c:v>
                </c:pt>
                <c:pt idx="12">
                  <c:v>29.606666666666683</c:v>
                </c:pt>
                <c:pt idx="13">
                  <c:v>0.11</c:v>
                </c:pt>
                <c:pt idx="14">
                  <c:v>594.21818181818185</c:v>
                </c:pt>
                <c:pt idx="15">
                  <c:v>1342.090909090909</c:v>
                </c:pt>
                <c:pt idx="16">
                  <c:v>3263.4099173553714</c:v>
                </c:pt>
                <c:pt idx="17">
                  <c:v>737.04636363636371</c:v>
                </c:pt>
                <c:pt idx="18">
                  <c:v>1997.2727272727273</c:v>
                </c:pt>
                <c:pt idx="19">
                  <c:v>1440.4363636363639</c:v>
                </c:pt>
                <c:pt idx="20">
                  <c:v>247.59727272727284</c:v>
                </c:pt>
                <c:pt idx="21">
                  <c:v>222.67818181818177</c:v>
                </c:pt>
              </c:numCache>
            </c:numRef>
          </c:val>
          <c:extLst>
            <c:ext xmlns:c16="http://schemas.microsoft.com/office/drawing/2014/chart" uri="{C3380CC4-5D6E-409C-BE32-E72D297353CC}">
              <c16:uniqueId val="{00000000-ACFE-4F2F-88AA-A5D7A0A9EE9B}"/>
            </c:ext>
          </c:extLst>
        </c:ser>
        <c:ser>
          <c:idx val="1"/>
          <c:order val="1"/>
          <c:tx>
            <c:v>12" - 20" rainfall</c:v>
          </c:tx>
          <c:spPr>
            <a:solidFill>
              <a:srgbClr val="FF0000"/>
            </a:solidFill>
          </c:spPr>
          <c:invertIfNegative val="0"/>
          <c:cat>
            <c:numRef>
              <c:f>Main!$D$69:$Y$69</c:f>
              <c:numCache>
                <c:formatCode>General</c:formatCode>
                <c:ptCount val="22"/>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numCache>
            </c:numRef>
          </c:cat>
          <c:val>
            <c:numRef>
              <c:f>Main!$D$71:$Y$71</c:f>
              <c:numCache>
                <c:formatCode>0</c:formatCode>
                <c:ptCount val="22"/>
                <c:pt idx="0">
                  <c:v>1668.3333333333335</c:v>
                </c:pt>
                <c:pt idx="1">
                  <c:v>3684.333333333333</c:v>
                </c:pt>
                <c:pt idx="2">
                  <c:v>3206.8333333333335</c:v>
                </c:pt>
                <c:pt idx="3">
                  <c:v>2041.6666666666667</c:v>
                </c:pt>
                <c:pt idx="4">
                  <c:v>6077.7999999999993</c:v>
                </c:pt>
                <c:pt idx="5">
                  <c:v>6100.36</c:v>
                </c:pt>
                <c:pt idx="6">
                  <c:v>1399.2400000000002</c:v>
                </c:pt>
                <c:pt idx="7">
                  <c:v>3566.84</c:v>
                </c:pt>
                <c:pt idx="8">
                  <c:v>1686.8400000000001</c:v>
                </c:pt>
                <c:pt idx="9">
                  <c:v>4649.47</c:v>
                </c:pt>
                <c:pt idx="10">
                  <c:v>2152.83</c:v>
                </c:pt>
                <c:pt idx="11">
                  <c:v>2015.63</c:v>
                </c:pt>
                <c:pt idx="12">
                  <c:v>767.57749999999999</c:v>
                </c:pt>
                <c:pt idx="13">
                  <c:v>294.6471428571428</c:v>
                </c:pt>
                <c:pt idx="14">
                  <c:v>1665.4749999999999</c:v>
                </c:pt>
                <c:pt idx="15">
                  <c:v>2288.1999999999998</c:v>
                </c:pt>
                <c:pt idx="16">
                  <c:v>2496.5409090909097</c:v>
                </c:pt>
                <c:pt idx="17">
                  <c:v>1244.48</c:v>
                </c:pt>
                <c:pt idx="18">
                  <c:v>2420.1</c:v>
                </c:pt>
                <c:pt idx="19">
                  <c:v>2148</c:v>
                </c:pt>
                <c:pt idx="20">
                  <c:v>484.85299999999989</c:v>
                </c:pt>
                <c:pt idx="21">
                  <c:v>596.72209090909087</c:v>
                </c:pt>
              </c:numCache>
            </c:numRef>
          </c:val>
          <c:extLst>
            <c:ext xmlns:c16="http://schemas.microsoft.com/office/drawing/2014/chart" uri="{C3380CC4-5D6E-409C-BE32-E72D297353CC}">
              <c16:uniqueId val="{00000001-ACFE-4F2F-88AA-A5D7A0A9EE9B}"/>
            </c:ext>
          </c:extLst>
        </c:ser>
        <c:ser>
          <c:idx val="2"/>
          <c:order val="2"/>
          <c:tx>
            <c:v>&gt; 20 in rainfall</c:v>
          </c:tx>
          <c:spPr>
            <a:solidFill>
              <a:srgbClr val="00B050"/>
            </a:solidFill>
          </c:spPr>
          <c:invertIfNegative val="0"/>
          <c:cat>
            <c:numRef>
              <c:f>Main!$D$69:$Y$69</c:f>
              <c:numCache>
                <c:formatCode>General</c:formatCode>
                <c:ptCount val="22"/>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numCache>
            </c:numRef>
          </c:cat>
          <c:val>
            <c:numRef>
              <c:f>Main!$D$70:$Y$70</c:f>
              <c:numCache>
                <c:formatCode>0</c:formatCode>
                <c:ptCount val="22"/>
                <c:pt idx="0">
                  <c:v>3637.7777777777778</c:v>
                </c:pt>
                <c:pt idx="1">
                  <c:v>3632.9444444444439</c:v>
                </c:pt>
                <c:pt idx="2">
                  <c:v>5655.2222222222226</c:v>
                </c:pt>
                <c:pt idx="3">
                  <c:v>4856.3888888888887</c:v>
                </c:pt>
                <c:pt idx="4">
                  <c:v>7348.6222222222232</c:v>
                </c:pt>
                <c:pt idx="5">
                  <c:v>6794.0533333333333</c:v>
                </c:pt>
                <c:pt idx="6">
                  <c:v>2464.9333333333334</c:v>
                </c:pt>
                <c:pt idx="7">
                  <c:v>4351.0133333333333</c:v>
                </c:pt>
                <c:pt idx="8">
                  <c:v>2828.4533333333334</c:v>
                </c:pt>
                <c:pt idx="9">
                  <c:v>6943.0733333333337</c:v>
                </c:pt>
                <c:pt idx="10">
                  <c:v>4199.8266666666668</c:v>
                </c:pt>
                <c:pt idx="11">
                  <c:v>3652.4766666666674</c:v>
                </c:pt>
                <c:pt idx="12">
                  <c:v>2383.3920000000003</c:v>
                </c:pt>
                <c:pt idx="13">
                  <c:v>353.72399999999999</c:v>
                </c:pt>
                <c:pt idx="14">
                  <c:v>1985.5</c:v>
                </c:pt>
                <c:pt idx="15">
                  <c:v>4445.2</c:v>
                </c:pt>
                <c:pt idx="16">
                  <c:v>5200.9527272727264</c:v>
                </c:pt>
                <c:pt idx="17">
                  <c:v>2764.7799999999997</c:v>
                </c:pt>
                <c:pt idx="18">
                  <c:v>3973.9</c:v>
                </c:pt>
                <c:pt idx="19">
                  <c:v>3422.2400000000002</c:v>
                </c:pt>
                <c:pt idx="20">
                  <c:v>2344.46</c:v>
                </c:pt>
                <c:pt idx="21">
                  <c:v>1888.8</c:v>
                </c:pt>
              </c:numCache>
            </c:numRef>
          </c:val>
          <c:extLst>
            <c:ext xmlns:c16="http://schemas.microsoft.com/office/drawing/2014/chart" uri="{C3380CC4-5D6E-409C-BE32-E72D297353CC}">
              <c16:uniqueId val="{00000002-ACFE-4F2F-88AA-A5D7A0A9EE9B}"/>
            </c:ext>
          </c:extLst>
        </c:ser>
        <c:dLbls>
          <c:showLegendKey val="0"/>
          <c:showVal val="0"/>
          <c:showCatName val="0"/>
          <c:showSerName val="0"/>
          <c:showPercent val="0"/>
          <c:showBubbleSize val="0"/>
        </c:dLbls>
        <c:gapWidth val="113"/>
        <c:shape val="box"/>
        <c:axId val="300732624"/>
        <c:axId val="1"/>
        <c:axId val="2"/>
      </c:bar3DChart>
      <c:catAx>
        <c:axId val="300732624"/>
        <c:scaling>
          <c:orientation val="minMax"/>
        </c:scaling>
        <c:delete val="0"/>
        <c:axPos val="b"/>
        <c:numFmt formatCode="General" sourceLinked="1"/>
        <c:majorTickMark val="cross"/>
        <c:minorTickMark val="in"/>
        <c:tickLblPos val="low"/>
        <c:spPr>
          <a:ln/>
        </c:spPr>
        <c:txPr>
          <a:bodyPr rot="0" vert="horz"/>
          <a:lstStyle/>
          <a:p>
            <a:pPr>
              <a:defRPr sz="12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en-US"/>
          </a:p>
        </c:txPr>
        <c:crossAx val="1"/>
        <c:crosses val="autoZero"/>
        <c:auto val="0"/>
        <c:lblAlgn val="ctr"/>
        <c:lblOffset val="100"/>
        <c:tickLblSkip val="2"/>
        <c:tickMarkSkip val="1"/>
        <c:noMultiLvlLbl val="0"/>
      </c:catAx>
      <c:valAx>
        <c:axId val="1"/>
        <c:scaling>
          <c:orientation val="minMax"/>
        </c:scaling>
        <c:delete val="0"/>
        <c:axPos val="l"/>
        <c:majorGridlines/>
        <c:numFmt formatCode="0" sourceLinked="1"/>
        <c:majorTickMark val="out"/>
        <c:minorTickMark val="none"/>
        <c:tickLblPos val="nextTo"/>
        <c:txPr>
          <a:bodyPr rot="0" vert="horz"/>
          <a:lstStyle/>
          <a:p>
            <a:pPr>
              <a:defRPr sz="14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en-US"/>
          </a:p>
        </c:txPr>
        <c:crossAx val="300732624"/>
        <c:crossesAt val="1"/>
        <c:crossBetween val="between"/>
      </c:valAx>
      <c:serAx>
        <c:axId val="2"/>
        <c:scaling>
          <c:orientation val="minMax"/>
        </c:scaling>
        <c:delete val="1"/>
        <c:axPos val="b"/>
        <c:numFmt formatCode="General" sourceLinked="1"/>
        <c:majorTickMark val="out"/>
        <c:minorTickMark val="none"/>
        <c:tickLblPos val="nextTo"/>
        <c:crossAx val="1"/>
        <c:crosses val="autoZero"/>
        <c:tickLblSkip val="2"/>
        <c:tickMarkSkip val="1"/>
      </c:serAx>
      <c:spPr>
        <a:noFill/>
        <a:ln w="25400">
          <a:noFill/>
        </a:ln>
      </c:spPr>
    </c:plotArea>
    <c:legend>
      <c:legendPos val="r"/>
      <c:layout>
        <c:manualLayout>
          <c:xMode val="edge"/>
          <c:yMode val="edge"/>
          <c:x val="4.1863180563967976E-2"/>
          <c:y val="0.90516076115485566"/>
          <c:w val="0.94464179958274441"/>
          <c:h val="7.8240740740740736E-2"/>
        </c:manualLayout>
      </c:layout>
      <c:overlay val="0"/>
      <c:spPr>
        <a:noFill/>
      </c:spPr>
      <c:txPr>
        <a:bodyPr/>
        <a:lstStyle/>
        <a:p>
          <a:pPr>
            <a:defRPr sz="14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latin typeface="Times New Roman" panose="02020603050405020304" pitchFamily="18" charset="0"/>
                <a:cs typeface="Times New Roman" panose="02020603050405020304" pitchFamily="18" charset="0"/>
              </a:rPr>
              <a:t>Available Forage </a:t>
            </a:r>
          </a:p>
          <a:p>
            <a:pPr>
              <a:defRPr b="1"/>
            </a:pPr>
            <a:r>
              <a:rPr lang="en-US" sz="1100" b="1">
                <a:solidFill>
                  <a:sysClr val="windowText" lastClr="000000"/>
                </a:solidFill>
                <a:latin typeface="Times New Roman" panose="02020603050405020304" pitchFamily="18" charset="0"/>
                <a:cs typeface="Times New Roman" panose="02020603050405020304" pitchFamily="18" charset="0"/>
              </a:rPr>
              <a:t>Average of Monitored</a:t>
            </a:r>
            <a:r>
              <a:rPr lang="en-US" sz="1100" b="1" baseline="0">
                <a:solidFill>
                  <a:sysClr val="windowText" lastClr="000000"/>
                </a:solidFill>
                <a:latin typeface="Times New Roman" panose="02020603050405020304" pitchFamily="18" charset="0"/>
                <a:cs typeface="Times New Roman" panose="02020603050405020304" pitchFamily="18" charset="0"/>
              </a:rPr>
              <a:t> Sites for each Precipitation Zone</a:t>
            </a:r>
            <a:endParaRPr lang="en-US" sz="1100"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7302443244663959"/>
          <c:y val="1.5075396944203269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7282884145740476"/>
          <c:y val="0.24745134044556222"/>
          <c:w val="0.80463614162277008"/>
          <c:h val="0.57720693658539823"/>
        </c:manualLayout>
      </c:layout>
      <c:barChart>
        <c:barDir val="col"/>
        <c:grouping val="clustered"/>
        <c:varyColors val="0"/>
        <c:ser>
          <c:idx val="0"/>
          <c:order val="0"/>
          <c:tx>
            <c:v>Average</c:v>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Main!$AH$87:$AH$89</c:f>
              <c:strCache>
                <c:ptCount val="3"/>
                <c:pt idx="0">
                  <c:v>Coastal Zone</c:v>
                </c:pt>
                <c:pt idx="1">
                  <c:v>Central Zone</c:v>
                </c:pt>
                <c:pt idx="2">
                  <c:v>Eastern Zone</c:v>
                </c:pt>
              </c:strCache>
            </c:strRef>
          </c:cat>
          <c:val>
            <c:numRef>
              <c:f>Main!$AB$55:$AB$57</c:f>
              <c:numCache>
                <c:formatCode>0</c:formatCode>
                <c:ptCount val="3"/>
                <c:pt idx="0">
                  <c:v>3667.6964055593517</c:v>
                </c:pt>
                <c:pt idx="1">
                  <c:v>1980.7835946604482</c:v>
                </c:pt>
                <c:pt idx="2">
                  <c:v>1411.386007425589</c:v>
                </c:pt>
              </c:numCache>
            </c:numRef>
          </c:val>
          <c:extLst>
            <c:ext xmlns:c16="http://schemas.microsoft.com/office/drawing/2014/chart" uri="{C3380CC4-5D6E-409C-BE32-E72D297353CC}">
              <c16:uniqueId val="{00000000-C988-427C-8B5D-83182B4351BA}"/>
            </c:ext>
          </c:extLst>
        </c:ser>
        <c:ser>
          <c:idx val="1"/>
          <c:order val="1"/>
          <c:tx>
            <c:v>2022</c:v>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Main!$AA$55:$AA$57</c:f>
              <c:numCache>
                <c:formatCode>0</c:formatCode>
                <c:ptCount val="3"/>
                <c:pt idx="0">
                  <c:v>1888.8</c:v>
                </c:pt>
                <c:pt idx="1">
                  <c:v>596.72209090909087</c:v>
                </c:pt>
                <c:pt idx="2">
                  <c:v>222.67818181818177</c:v>
                </c:pt>
              </c:numCache>
            </c:numRef>
          </c:val>
          <c:extLst>
            <c:ext xmlns:c16="http://schemas.microsoft.com/office/drawing/2014/chart" uri="{C3380CC4-5D6E-409C-BE32-E72D297353CC}">
              <c16:uniqueId val="{00000001-C988-427C-8B5D-83182B4351BA}"/>
            </c:ext>
          </c:extLst>
        </c:ser>
        <c:dLbls>
          <c:dLblPos val="outEnd"/>
          <c:showLegendKey val="0"/>
          <c:showVal val="1"/>
          <c:showCatName val="0"/>
          <c:showSerName val="0"/>
          <c:showPercent val="0"/>
          <c:showBubbleSize val="0"/>
        </c:dLbls>
        <c:gapWidth val="219"/>
        <c:overlap val="-27"/>
        <c:axId val="519040312"/>
        <c:axId val="519035064"/>
      </c:barChart>
      <c:catAx>
        <c:axId val="519040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19035064"/>
        <c:crosses val="autoZero"/>
        <c:auto val="1"/>
        <c:lblAlgn val="ctr"/>
        <c:lblOffset val="100"/>
        <c:noMultiLvlLbl val="0"/>
      </c:catAx>
      <c:valAx>
        <c:axId val="5190350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100" b="1">
                    <a:solidFill>
                      <a:sysClr val="windowText" lastClr="000000"/>
                    </a:solidFill>
                    <a:latin typeface="Times New Roman" panose="02020603050405020304" pitchFamily="18" charset="0"/>
                    <a:cs typeface="Times New Roman" panose="02020603050405020304" pitchFamily="18" charset="0"/>
                  </a:rPr>
                  <a:t>Production (lb/ac)</a:t>
                </a:r>
              </a:p>
            </c:rich>
          </c:tx>
          <c:layout>
            <c:manualLayout>
              <c:xMode val="edge"/>
              <c:yMode val="edge"/>
              <c:x val="6.7777862954891436E-3"/>
              <c:y val="0.38253112847586068"/>
            </c:manualLayout>
          </c:layout>
          <c:overlay val="0"/>
          <c:spPr>
            <a:noFill/>
            <a:ln>
              <a:noFill/>
            </a:ln>
            <a:effectLst/>
          </c:spPr>
          <c:txPr>
            <a:bodyPr rot="-54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19040312"/>
        <c:crosses val="autoZero"/>
        <c:crossBetween val="between"/>
      </c:valAx>
      <c:spPr>
        <a:noFill/>
        <a:ln>
          <a:noFill/>
        </a:ln>
        <a:effectLst/>
      </c:spPr>
    </c:plotArea>
    <c:legend>
      <c:legendPos val="b"/>
      <c:layout>
        <c:manualLayout>
          <c:xMode val="edge"/>
          <c:yMode val="edge"/>
          <c:x val="0.35670537227150406"/>
          <c:y val="0.89759396604950037"/>
          <c:w val="0.28658925545699193"/>
          <c:h val="9.2725491840141477E-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264</Words>
  <Characters>1511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Royce Larsen</dc:creator>
  <cp:keywords/>
  <dc:description/>
  <cp:lastModifiedBy>Marty Settevendemie</cp:lastModifiedBy>
  <cp:revision>2</cp:revision>
  <dcterms:created xsi:type="dcterms:W3CDTF">2022-08-23T19:48:00Z</dcterms:created>
  <dcterms:modified xsi:type="dcterms:W3CDTF">2022-08-23T19:48:00Z</dcterms:modified>
</cp:coreProperties>
</file>