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360"/>
      </w:tblGrid>
      <w:tr w:rsidR="007D0324" w14:paraId="2E54DED3" w14:textId="77777777" w:rsidTr="007D032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D0324" w14:paraId="3A43FB33" w14:textId="77777777">
              <w:tc>
                <w:tcPr>
                  <w:tcW w:w="0" w:type="auto"/>
                  <w:tcMar>
                    <w:top w:w="150" w:type="dxa"/>
                    <w:left w:w="300" w:type="dxa"/>
                    <w:bottom w:w="150" w:type="dxa"/>
                    <w:right w:w="300" w:type="dxa"/>
                  </w:tcMar>
                </w:tcPr>
                <w:tbl>
                  <w:tblPr>
                    <w:tblpPr w:leftFromText="45" w:rightFromText="115" w:vertAnchor="text" w:tblpXSpec="right" w:tblpYSpec="center"/>
                    <w:tblW w:w="0" w:type="auto"/>
                    <w:tblCellMar>
                      <w:left w:w="0" w:type="dxa"/>
                      <w:right w:w="0" w:type="dxa"/>
                    </w:tblCellMar>
                    <w:tblLook w:val="04A0" w:firstRow="1" w:lastRow="0" w:firstColumn="1" w:lastColumn="0" w:noHBand="0" w:noVBand="1"/>
                  </w:tblPr>
                  <w:tblGrid>
                    <w:gridCol w:w="225"/>
                    <w:gridCol w:w="2430"/>
                  </w:tblGrid>
                  <w:tr w:rsidR="007D0324" w14:paraId="3D6F21EC" w14:textId="77777777">
                    <w:trPr>
                      <w:trHeight w:val="15"/>
                    </w:trPr>
                    <w:tc>
                      <w:tcPr>
                        <w:tcW w:w="225" w:type="dxa"/>
                        <w:hideMark/>
                      </w:tcPr>
                      <w:p w14:paraId="4C2F7BD4" w14:textId="35A1AA28" w:rsidR="007D0324" w:rsidRDefault="007D0324">
                        <w:pPr>
                          <w:spacing w:line="15" w:lineRule="atLeast"/>
                          <w:jc w:val="center"/>
                          <w:rPr>
                            <w:rFonts w:eastAsia="Times New Roman"/>
                          </w:rPr>
                        </w:pPr>
                        <w:r>
                          <w:rPr>
                            <w:rFonts w:eastAsia="Times New Roman"/>
                            <w:noProof/>
                          </w:rPr>
                          <w:drawing>
                            <wp:inline distT="0" distB="0" distL="0" distR="0" wp14:anchorId="1F9D5FF0" wp14:editId="0B7C2B9C">
                              <wp:extent cx="14287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54AE4A8F" w14:textId="2ADF9C37" w:rsidR="007D0324" w:rsidRDefault="007D0324">
                        <w:pPr>
                          <w:jc w:val="center"/>
                          <w:rPr>
                            <w:rFonts w:eastAsia="Times New Roman"/>
                          </w:rPr>
                        </w:pPr>
                        <w:r>
                          <w:rPr>
                            <w:rFonts w:eastAsia="Times New Roman"/>
                            <w:noProof/>
                          </w:rPr>
                          <w:drawing>
                            <wp:inline distT="0" distB="0" distL="0" distR="0" wp14:anchorId="73763228" wp14:editId="68735062">
                              <wp:extent cx="1543050" cy="200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2000250"/>
                                      </a:xfrm>
                                      <a:prstGeom prst="rect">
                                        <a:avLst/>
                                      </a:prstGeom>
                                      <a:noFill/>
                                      <a:ln>
                                        <a:noFill/>
                                      </a:ln>
                                    </pic:spPr>
                                  </pic:pic>
                                </a:graphicData>
                              </a:graphic>
                            </wp:inline>
                          </w:drawing>
                        </w:r>
                      </w:p>
                    </w:tc>
                  </w:tr>
                  <w:tr w:rsidR="007D0324" w14:paraId="712FF741" w14:textId="77777777">
                    <w:trPr>
                      <w:trHeight w:val="75"/>
                    </w:trPr>
                    <w:tc>
                      <w:tcPr>
                        <w:tcW w:w="75" w:type="dxa"/>
                        <w:hideMark/>
                      </w:tcPr>
                      <w:p w14:paraId="6B7529A2" w14:textId="68F521B2" w:rsidR="007D0324" w:rsidRDefault="007D0324">
                        <w:pPr>
                          <w:spacing w:line="15" w:lineRule="atLeast"/>
                          <w:jc w:val="center"/>
                          <w:rPr>
                            <w:rFonts w:eastAsia="Times New Roman"/>
                          </w:rPr>
                        </w:pPr>
                        <w:r>
                          <w:rPr>
                            <w:rFonts w:eastAsia="Times New Roman"/>
                            <w:noProof/>
                          </w:rPr>
                          <w:drawing>
                            <wp:inline distT="0" distB="0" distL="0" distR="0" wp14:anchorId="186F1CAC" wp14:editId="6056472B">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08CB0FF6" w14:textId="3D903297" w:rsidR="007D0324" w:rsidRDefault="007D0324">
                        <w:pPr>
                          <w:spacing w:line="15" w:lineRule="atLeast"/>
                          <w:jc w:val="center"/>
                          <w:rPr>
                            <w:rFonts w:eastAsia="Times New Roman"/>
                          </w:rPr>
                        </w:pPr>
                        <w:r>
                          <w:rPr>
                            <w:rFonts w:eastAsia="Times New Roman"/>
                            <w:noProof/>
                          </w:rPr>
                          <w:drawing>
                            <wp:inline distT="0" distB="0" distL="0" distR="0" wp14:anchorId="79ABBAF0" wp14:editId="74ECDABB">
                              <wp:extent cx="9525" cy="47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582D5CDE" w14:textId="77777777" w:rsidR="007D0324" w:rsidRDefault="007D0324">
                  <w:pPr>
                    <w:jc w:val="center"/>
                    <w:rPr>
                      <w:rFonts w:ascii="Arial" w:eastAsia="Times New Roman" w:hAnsi="Arial" w:cs="Arial"/>
                      <w:color w:val="403F42"/>
                      <w:sz w:val="18"/>
                      <w:szCs w:val="18"/>
                    </w:rPr>
                  </w:pPr>
                  <w:r>
                    <w:rPr>
                      <w:rFonts w:ascii="Arial" w:eastAsia="Times New Roman" w:hAnsi="Arial" w:cs="Arial"/>
                      <w:b/>
                      <w:bCs/>
                      <w:color w:val="403F42"/>
                      <w:sz w:val="24"/>
                      <w:szCs w:val="24"/>
                    </w:rPr>
                    <w:t>Report shows visitor spending supports 16,341 jobs in local economy</w:t>
                  </w:r>
                </w:p>
                <w:p w14:paraId="5F508BFC" w14:textId="77777777" w:rsidR="007D0324" w:rsidRDefault="007D0324">
                  <w:pPr>
                    <w:jc w:val="center"/>
                    <w:rPr>
                      <w:rFonts w:ascii="Arial" w:eastAsia="Times New Roman" w:hAnsi="Arial" w:cs="Arial"/>
                      <w:color w:val="403F42"/>
                      <w:sz w:val="18"/>
                      <w:szCs w:val="18"/>
                    </w:rPr>
                  </w:pPr>
                  <w:r>
                    <w:rPr>
                      <w:rFonts w:ascii="Arial" w:eastAsia="Times New Roman" w:hAnsi="Arial" w:cs="Arial"/>
                      <w:color w:val="403F42"/>
                      <w:sz w:val="21"/>
                      <w:szCs w:val="21"/>
                    </w:rPr>
                    <w:t> </w:t>
                  </w:r>
                </w:p>
                <w:p w14:paraId="30172C7F" w14:textId="77777777" w:rsidR="007D0324" w:rsidRDefault="007D0324">
                  <w:pPr>
                    <w:rPr>
                      <w:rFonts w:ascii="Arial" w:eastAsia="Times New Roman" w:hAnsi="Arial" w:cs="Arial"/>
                      <w:color w:val="403F42"/>
                      <w:sz w:val="18"/>
                      <w:szCs w:val="18"/>
                    </w:rPr>
                  </w:pPr>
                  <w:r>
                    <w:rPr>
                      <w:rFonts w:ascii="Arial" w:eastAsia="Times New Roman" w:hAnsi="Arial" w:cs="Arial"/>
                      <w:color w:val="403F42"/>
                      <w:sz w:val="21"/>
                      <w:szCs w:val="21"/>
                    </w:rPr>
                    <w:t xml:space="preserve">Asheville, NC </w:t>
                  </w:r>
                  <w:r>
                    <w:rPr>
                      <w:rFonts w:ascii="Arial" w:eastAsia="Times New Roman" w:hAnsi="Arial" w:cs="Arial"/>
                      <w:color w:val="000000"/>
                      <w:sz w:val="21"/>
                      <w:szCs w:val="21"/>
                    </w:rPr>
                    <w:t xml:space="preserve">– A new National Park Service (NPS) report shows that </w:t>
                  </w:r>
                  <w:r>
                    <w:rPr>
                      <w:rFonts w:ascii="Arial" w:eastAsia="Times New Roman" w:hAnsi="Arial" w:cs="Arial"/>
                      <w:color w:val="403F42"/>
                      <w:sz w:val="21"/>
                      <w:szCs w:val="21"/>
                    </w:rPr>
                    <w:t xml:space="preserve">14.9 million </w:t>
                  </w:r>
                  <w:r>
                    <w:rPr>
                      <w:rFonts w:ascii="Arial" w:eastAsia="Times New Roman" w:hAnsi="Arial" w:cs="Arial"/>
                      <w:color w:val="000000"/>
                      <w:sz w:val="21"/>
                      <w:szCs w:val="21"/>
                    </w:rPr>
                    <w:t>visitors to</w:t>
                  </w:r>
                  <w:r>
                    <w:rPr>
                      <w:rFonts w:ascii="Arial" w:eastAsia="Times New Roman" w:hAnsi="Arial" w:cs="Arial"/>
                      <w:color w:val="403F42"/>
                      <w:sz w:val="21"/>
                      <w:szCs w:val="21"/>
                    </w:rPr>
                    <w:t xml:space="preserve"> the Blue Ridge Parkway </w:t>
                  </w:r>
                  <w:r>
                    <w:rPr>
                      <w:rFonts w:ascii="Arial" w:eastAsia="Times New Roman" w:hAnsi="Arial" w:cs="Arial"/>
                      <w:color w:val="000000"/>
                      <w:sz w:val="21"/>
                      <w:szCs w:val="21"/>
                    </w:rPr>
                    <w:t xml:space="preserve">in 2019 spent </w:t>
                  </w:r>
                  <w:r>
                    <w:rPr>
                      <w:rFonts w:ascii="Arial" w:eastAsia="Times New Roman" w:hAnsi="Arial" w:cs="Arial"/>
                      <w:color w:val="403F42"/>
                      <w:sz w:val="21"/>
                      <w:szCs w:val="21"/>
                    </w:rPr>
                    <w:t xml:space="preserve">$1.1 Billion </w:t>
                  </w:r>
                  <w:r>
                    <w:rPr>
                      <w:rFonts w:ascii="Arial" w:eastAsia="Times New Roman" w:hAnsi="Arial" w:cs="Arial"/>
                      <w:color w:val="000000"/>
                      <w:sz w:val="21"/>
                      <w:szCs w:val="21"/>
                    </w:rPr>
                    <w:t xml:space="preserve">in communities near the park. That spending supported </w:t>
                  </w:r>
                  <w:r>
                    <w:rPr>
                      <w:rFonts w:ascii="Arial" w:eastAsia="Times New Roman" w:hAnsi="Arial" w:cs="Arial"/>
                      <w:color w:val="403F42"/>
                      <w:sz w:val="21"/>
                      <w:szCs w:val="21"/>
                    </w:rPr>
                    <w:t xml:space="preserve">16,341 </w:t>
                  </w:r>
                  <w:r>
                    <w:rPr>
                      <w:rFonts w:ascii="Arial" w:eastAsia="Times New Roman" w:hAnsi="Arial" w:cs="Arial"/>
                      <w:color w:val="000000"/>
                      <w:sz w:val="21"/>
                      <w:szCs w:val="21"/>
                    </w:rPr>
                    <w:t xml:space="preserve">jobs in the local area and had a cumulative benefit to the local economy of </w:t>
                  </w:r>
                  <w:r>
                    <w:rPr>
                      <w:rFonts w:ascii="Arial" w:eastAsia="Times New Roman" w:hAnsi="Arial" w:cs="Arial"/>
                      <w:color w:val="403F42"/>
                      <w:sz w:val="21"/>
                      <w:szCs w:val="21"/>
                    </w:rPr>
                    <w:t>$1.4 Billion</w:t>
                  </w:r>
                  <w:r>
                    <w:rPr>
                      <w:rFonts w:ascii="Arial" w:eastAsia="Times New Roman" w:hAnsi="Arial" w:cs="Arial"/>
                      <w:color w:val="000000"/>
                      <w:sz w:val="21"/>
                      <w:szCs w:val="21"/>
                    </w:rPr>
                    <w:t>.</w:t>
                  </w:r>
                  <w:r>
                    <w:rPr>
                      <w:rFonts w:ascii="Arial" w:eastAsia="Times New Roman" w:hAnsi="Arial" w:cs="Arial"/>
                      <w:color w:val="403F42"/>
                      <w:sz w:val="18"/>
                      <w:szCs w:val="18"/>
                    </w:rPr>
                    <w:t xml:space="preserve"> </w:t>
                  </w:r>
                </w:p>
                <w:p w14:paraId="0412D7D6" w14:textId="77777777" w:rsidR="007D0324" w:rsidRDefault="007D0324">
                  <w:pPr>
                    <w:rPr>
                      <w:rFonts w:ascii="Arial" w:eastAsia="Times New Roman" w:hAnsi="Arial" w:cs="Arial"/>
                      <w:color w:val="403F42"/>
                      <w:sz w:val="18"/>
                      <w:szCs w:val="18"/>
                    </w:rPr>
                  </w:pPr>
                </w:p>
                <w:p w14:paraId="61EEDC18" w14:textId="77777777" w:rsidR="007D0324" w:rsidRDefault="007D0324">
                  <w:pPr>
                    <w:rPr>
                      <w:rFonts w:ascii="Arial" w:eastAsia="Times New Roman" w:hAnsi="Arial" w:cs="Arial"/>
                      <w:color w:val="403F42"/>
                      <w:sz w:val="18"/>
                      <w:szCs w:val="18"/>
                    </w:rPr>
                  </w:pPr>
                  <w:r>
                    <w:rPr>
                      <w:rFonts w:ascii="Arial" w:eastAsia="Times New Roman" w:hAnsi="Arial" w:cs="Arial"/>
                      <w:color w:val="403F42"/>
                      <w:sz w:val="21"/>
                      <w:szCs w:val="21"/>
                    </w:rPr>
                    <w:t xml:space="preserve"> “Over the past several weeks, NPS staff have been working hard to safely increase access to Blue Ridge Parkway, a unit of the National Park System which contributes to individual and collective physical and mental wellness,” said </w:t>
                  </w:r>
                  <w:r>
                    <w:rPr>
                      <w:rFonts w:ascii="Arial" w:eastAsia="Times New Roman" w:hAnsi="Arial" w:cs="Arial"/>
                      <w:b/>
                      <w:bCs/>
                      <w:color w:val="000000"/>
                      <w:sz w:val="21"/>
                      <w:szCs w:val="21"/>
                    </w:rPr>
                    <w:t xml:space="preserve">Superintendent </w:t>
                  </w:r>
                  <w:r>
                    <w:rPr>
                      <w:rFonts w:ascii="Arial" w:eastAsia="Times New Roman" w:hAnsi="Arial" w:cs="Arial"/>
                      <w:b/>
                      <w:bCs/>
                      <w:color w:val="403F42"/>
                      <w:sz w:val="21"/>
                      <w:szCs w:val="21"/>
                    </w:rPr>
                    <w:t>J.D. Lee</w:t>
                  </w:r>
                  <w:r>
                    <w:rPr>
                      <w:rFonts w:ascii="Arial" w:eastAsia="Times New Roman" w:hAnsi="Arial" w:cs="Arial"/>
                      <w:color w:val="FF0000"/>
                      <w:sz w:val="21"/>
                      <w:szCs w:val="21"/>
                    </w:rPr>
                    <w:t>.</w:t>
                  </w:r>
                  <w:r>
                    <w:rPr>
                      <w:rFonts w:ascii="Arial" w:eastAsia="Times New Roman" w:hAnsi="Arial" w:cs="Arial"/>
                      <w:color w:val="000000"/>
                      <w:sz w:val="21"/>
                      <w:szCs w:val="21"/>
                    </w:rPr>
                    <w:t xml:space="preserve"> “We welcome visitors back to the park and are excited to share the story of this place and the experiences it provides. The parkway has a long history of connecting communities in our region and introducing our visitors to this part of the country and all that it offers.”</w:t>
                  </w:r>
                  <w:r>
                    <w:rPr>
                      <w:rFonts w:ascii="Arial" w:eastAsia="Times New Roman" w:hAnsi="Arial" w:cs="Arial"/>
                      <w:color w:val="403F42"/>
                      <w:sz w:val="18"/>
                      <w:szCs w:val="18"/>
                    </w:rPr>
                    <w:t xml:space="preserve"> </w:t>
                  </w:r>
                </w:p>
                <w:p w14:paraId="237E7D21" w14:textId="77777777" w:rsidR="007D0324" w:rsidRDefault="007D0324">
                  <w:pPr>
                    <w:rPr>
                      <w:rFonts w:ascii="Arial" w:eastAsia="Times New Roman" w:hAnsi="Arial" w:cs="Arial"/>
                      <w:color w:val="403F42"/>
                      <w:sz w:val="18"/>
                      <w:szCs w:val="18"/>
                    </w:rPr>
                  </w:pPr>
                </w:p>
                <w:p w14:paraId="469330DB" w14:textId="77777777" w:rsidR="007D0324" w:rsidRDefault="007D0324">
                  <w:pPr>
                    <w:rPr>
                      <w:rFonts w:ascii="Arial" w:eastAsia="Times New Roman" w:hAnsi="Arial" w:cs="Arial"/>
                      <w:color w:val="403F42"/>
                      <w:sz w:val="18"/>
                      <w:szCs w:val="18"/>
                    </w:rPr>
                  </w:pPr>
                  <w:r>
                    <w:rPr>
                      <w:rFonts w:ascii="Arial" w:eastAsia="Times New Roman" w:hAnsi="Arial" w:cs="Arial"/>
                      <w:color w:val="000000"/>
                      <w:sz w:val="21"/>
                      <w:szCs w:val="21"/>
                    </w:rPr>
                    <w:t xml:space="preserve">The peer-reviewed visitor spending analysis was conducted by </w:t>
                  </w:r>
                  <w:r>
                    <w:rPr>
                      <w:rFonts w:ascii="Arial" w:eastAsia="Times New Roman" w:hAnsi="Arial" w:cs="Arial"/>
                      <w:color w:val="403F42"/>
                      <w:sz w:val="21"/>
                      <w:szCs w:val="21"/>
                    </w:rPr>
                    <w:t xml:space="preserve">economists Catherine Cullinane Thomas of the U.S. Geological Survey and Lynne Koontz of the National Park Service. </w:t>
                  </w:r>
                  <w:r>
                    <w:rPr>
                      <w:rFonts w:ascii="Arial" w:eastAsia="Times New Roman" w:hAnsi="Arial" w:cs="Arial"/>
                      <w:color w:val="000000"/>
                      <w:sz w:val="21"/>
                      <w:szCs w:val="21"/>
                    </w:rPr>
                    <w:t>The report shows $</w:t>
                  </w:r>
                  <w:r>
                    <w:rPr>
                      <w:rFonts w:ascii="Arial" w:eastAsia="Times New Roman" w:hAnsi="Arial" w:cs="Arial"/>
                      <w:color w:val="403F42"/>
                      <w:sz w:val="21"/>
                      <w:szCs w:val="21"/>
                    </w:rPr>
                    <w:t>21</w:t>
                  </w:r>
                  <w:r>
                    <w:rPr>
                      <w:rFonts w:ascii="Arial" w:eastAsia="Times New Roman" w:hAnsi="Arial" w:cs="Arial"/>
                      <w:color w:val="000000"/>
                      <w:sz w:val="21"/>
                      <w:szCs w:val="21"/>
                    </w:rPr>
                    <w:t xml:space="preserve"> billion of direct spending by more than 327 million park visitors in communities within 60 miles of a national park. This spending supported 340,500 jobs nationally; 27</w:t>
                  </w:r>
                  <w:r>
                    <w:rPr>
                      <w:rFonts w:ascii="Arial" w:eastAsia="Times New Roman" w:hAnsi="Arial" w:cs="Arial"/>
                      <w:color w:val="403F42"/>
                      <w:sz w:val="21"/>
                      <w:szCs w:val="21"/>
                    </w:rPr>
                    <w:t>8,0</w:t>
                  </w:r>
                  <w:r>
                    <w:rPr>
                      <w:rFonts w:ascii="Arial" w:eastAsia="Times New Roman" w:hAnsi="Arial" w:cs="Arial"/>
                      <w:color w:val="000000"/>
                      <w:sz w:val="21"/>
                      <w:szCs w:val="21"/>
                    </w:rPr>
                    <w:t>00 of those jobs are found in these gateway communities. The cumulative benefit to the U.S. economy was $</w:t>
                  </w:r>
                  <w:r>
                    <w:rPr>
                      <w:rFonts w:ascii="Arial" w:eastAsia="Times New Roman" w:hAnsi="Arial" w:cs="Arial"/>
                      <w:color w:val="403F42"/>
                      <w:sz w:val="21"/>
                      <w:szCs w:val="21"/>
                    </w:rPr>
                    <w:t>41.7</w:t>
                  </w:r>
                  <w:r>
                    <w:rPr>
                      <w:rFonts w:ascii="Arial" w:eastAsia="Times New Roman" w:hAnsi="Arial" w:cs="Arial"/>
                      <w:color w:val="000000"/>
                      <w:sz w:val="21"/>
                      <w:szCs w:val="21"/>
                    </w:rPr>
                    <w:t xml:space="preserve"> billion. </w:t>
                  </w:r>
                </w:p>
                <w:p w14:paraId="17C6218B" w14:textId="77777777" w:rsidR="007D0324" w:rsidRDefault="007D0324">
                  <w:pPr>
                    <w:rPr>
                      <w:rFonts w:ascii="Arial" w:eastAsia="Times New Roman" w:hAnsi="Arial" w:cs="Arial"/>
                      <w:color w:val="403F42"/>
                      <w:sz w:val="18"/>
                      <w:szCs w:val="18"/>
                    </w:rPr>
                  </w:pPr>
                </w:p>
                <w:p w14:paraId="27019F20" w14:textId="77777777" w:rsidR="007D0324" w:rsidRDefault="007D0324">
                  <w:pPr>
                    <w:rPr>
                      <w:rFonts w:ascii="Arial" w:eastAsia="Times New Roman" w:hAnsi="Arial" w:cs="Arial"/>
                      <w:color w:val="403F42"/>
                      <w:sz w:val="18"/>
                      <w:szCs w:val="18"/>
                    </w:rPr>
                  </w:pPr>
                  <w:r>
                    <w:rPr>
                      <w:rFonts w:ascii="Arial" w:eastAsia="Times New Roman" w:hAnsi="Arial" w:cs="Arial"/>
                      <w:color w:val="403F42"/>
                      <w:sz w:val="21"/>
                      <w:szCs w:val="21"/>
                    </w:rPr>
                    <w:t>Lodging expenses account for the largest share of visitor spending, about $7.1 billion in 2019. The restaurant sector had the next greatest effects with $4.2 billion in economic output. Motor vehicle fuel expenditures were $2.16 billion with retail spending at $1.93 billion.</w:t>
                  </w:r>
                </w:p>
                <w:p w14:paraId="04424900" w14:textId="77777777" w:rsidR="007D0324" w:rsidRDefault="007D0324">
                  <w:pPr>
                    <w:rPr>
                      <w:rFonts w:ascii="Arial" w:eastAsia="Times New Roman" w:hAnsi="Arial" w:cs="Arial"/>
                      <w:color w:val="403F42"/>
                      <w:sz w:val="18"/>
                      <w:szCs w:val="18"/>
                    </w:rPr>
                  </w:pPr>
                </w:p>
                <w:p w14:paraId="7DF72537" w14:textId="77777777" w:rsidR="007D0324" w:rsidRDefault="007D0324">
                  <w:pPr>
                    <w:rPr>
                      <w:rFonts w:ascii="Arial" w:eastAsia="Times New Roman" w:hAnsi="Arial" w:cs="Arial"/>
                      <w:color w:val="403F42"/>
                      <w:sz w:val="18"/>
                      <w:szCs w:val="18"/>
                    </w:rPr>
                  </w:pPr>
                  <w:r>
                    <w:rPr>
                      <w:rFonts w:ascii="Arial" w:eastAsia="Times New Roman" w:hAnsi="Arial" w:cs="Arial"/>
                      <w:color w:val="403F42"/>
                      <w:sz w:val="21"/>
                      <w:szCs w:val="21"/>
                    </w:rPr>
                    <w:t>Visitor spending on lodging supported more than 58,000 jobs and more than 61,000 jobs in restaurants. Visitor spending in the recreation industries supported more than 28,000 jobs and spending in retail supported more than 20,000 jobs.</w:t>
                  </w:r>
                </w:p>
                <w:p w14:paraId="0D5BB33B" w14:textId="77777777" w:rsidR="007D0324" w:rsidRDefault="007D0324">
                  <w:pPr>
                    <w:rPr>
                      <w:rFonts w:ascii="Arial" w:eastAsia="Times New Roman" w:hAnsi="Arial" w:cs="Arial"/>
                      <w:color w:val="403F42"/>
                      <w:sz w:val="18"/>
                      <w:szCs w:val="18"/>
                    </w:rPr>
                  </w:pPr>
                  <w:r>
                    <w:rPr>
                      <w:rFonts w:ascii="Arial" w:eastAsia="Times New Roman" w:hAnsi="Arial" w:cs="Arial"/>
                      <w:color w:val="403F42"/>
                      <w:sz w:val="21"/>
                      <w:szCs w:val="21"/>
                    </w:rPr>
                    <w:t> </w:t>
                  </w:r>
                </w:p>
                <w:p w14:paraId="11F7A8D7" w14:textId="77777777" w:rsidR="007D0324" w:rsidRDefault="007D0324">
                  <w:pPr>
                    <w:rPr>
                      <w:rFonts w:ascii="Arial" w:eastAsia="Times New Roman" w:hAnsi="Arial" w:cs="Arial"/>
                      <w:color w:val="403F42"/>
                      <w:sz w:val="18"/>
                      <w:szCs w:val="18"/>
                    </w:rPr>
                  </w:pPr>
                  <w:r>
                    <w:rPr>
                      <w:rFonts w:ascii="Arial" w:eastAsia="Times New Roman" w:hAnsi="Arial" w:cs="Arial"/>
                      <w:color w:val="403F42"/>
                      <w:sz w:val="21"/>
                      <w:szCs w:val="21"/>
                    </w:rPr>
                    <w:t xml:space="preserve">Report authors also produce an interactive tool that enables users to explore visitor spending, jobs, labor income, value added, and output effects by sector for national, state, and local economies. Users can also view year-by-year trend data. The interactive tool and report are available at the NPS Social Science Program webpage: </w:t>
                  </w:r>
                  <w:hyperlink r:id="rId6" w:tgtFrame="_blank" w:history="1">
                    <w:r>
                      <w:rPr>
                        <w:rStyle w:val="Hyperlink"/>
                        <w:rFonts w:ascii="Arial" w:eastAsia="Times New Roman" w:hAnsi="Arial" w:cs="Arial"/>
                        <w:b/>
                        <w:bCs/>
                        <w:color w:val="3254A4"/>
                        <w:sz w:val="21"/>
                        <w:szCs w:val="21"/>
                        <w:u w:val="none"/>
                      </w:rPr>
                      <w:t>https://www.nps.gov/subjects/socialscience/vse.htm</w:t>
                    </w:r>
                  </w:hyperlink>
                  <w:r>
                    <w:rPr>
                      <w:rFonts w:ascii="Arial" w:eastAsia="Times New Roman" w:hAnsi="Arial" w:cs="Arial"/>
                      <w:color w:val="403F42"/>
                      <w:sz w:val="18"/>
                      <w:szCs w:val="18"/>
                    </w:rPr>
                    <w:t xml:space="preserve"> </w:t>
                  </w:r>
                </w:p>
                <w:p w14:paraId="651501BE" w14:textId="77777777" w:rsidR="007D0324" w:rsidRDefault="007D0324">
                  <w:pPr>
                    <w:rPr>
                      <w:rFonts w:ascii="Arial" w:eastAsia="Times New Roman" w:hAnsi="Arial" w:cs="Arial"/>
                      <w:color w:val="403F42"/>
                      <w:sz w:val="18"/>
                      <w:szCs w:val="18"/>
                    </w:rPr>
                  </w:pPr>
                  <w:r>
                    <w:rPr>
                      <w:rFonts w:ascii="Arial" w:eastAsia="Times New Roman" w:hAnsi="Arial" w:cs="Arial"/>
                      <w:b/>
                      <w:bCs/>
                      <w:color w:val="3254A4"/>
                      <w:sz w:val="21"/>
                      <w:szCs w:val="21"/>
                    </w:rPr>
                    <w:t> </w:t>
                  </w:r>
                </w:p>
                <w:p w14:paraId="71F0B45B" w14:textId="77777777" w:rsidR="007D0324" w:rsidRDefault="007D0324">
                  <w:pPr>
                    <w:rPr>
                      <w:rFonts w:ascii="Arial" w:eastAsia="Times New Roman" w:hAnsi="Arial" w:cs="Arial"/>
                      <w:color w:val="403F42"/>
                      <w:sz w:val="18"/>
                      <w:szCs w:val="18"/>
                    </w:rPr>
                  </w:pPr>
                  <w:r>
                    <w:rPr>
                      <w:rFonts w:ascii="Arial" w:eastAsia="Times New Roman" w:hAnsi="Arial" w:cs="Arial"/>
                      <w:color w:val="000000"/>
                      <w:sz w:val="21"/>
                      <w:szCs w:val="21"/>
                    </w:rPr>
                    <w:t xml:space="preserve">To learn more about national parks in </w:t>
                  </w:r>
                  <w:r>
                    <w:rPr>
                      <w:rFonts w:ascii="Arial" w:eastAsia="Times New Roman" w:hAnsi="Arial" w:cs="Arial"/>
                      <w:color w:val="403F42"/>
                      <w:sz w:val="21"/>
                      <w:szCs w:val="21"/>
                    </w:rPr>
                    <w:t xml:space="preserve">North Carolina and Virginia </w:t>
                  </w:r>
                  <w:r>
                    <w:rPr>
                      <w:rFonts w:ascii="Arial" w:eastAsia="Times New Roman" w:hAnsi="Arial" w:cs="Arial"/>
                      <w:color w:val="000000"/>
                      <w:sz w:val="21"/>
                      <w:szCs w:val="21"/>
                    </w:rPr>
                    <w:t xml:space="preserve">and how the National Park Service works with communities to help preserve local history, conserve the environment, and provide outdoor recreation, go to </w:t>
                  </w:r>
                  <w:hyperlink r:id="rId7" w:tgtFrame="_blank" w:history="1">
                    <w:r>
                      <w:rPr>
                        <w:rStyle w:val="Hyperlink"/>
                        <w:rFonts w:ascii="Arial" w:eastAsia="Times New Roman" w:hAnsi="Arial" w:cs="Arial"/>
                        <w:b/>
                        <w:bCs/>
                        <w:color w:val="3254A4"/>
                        <w:sz w:val="21"/>
                        <w:szCs w:val="21"/>
                        <w:u w:val="none"/>
                      </w:rPr>
                      <w:t>www.nps.gov/NorthCarolina</w:t>
                    </w:r>
                  </w:hyperlink>
                  <w:r>
                    <w:rPr>
                      <w:rFonts w:ascii="Arial" w:eastAsia="Times New Roman" w:hAnsi="Arial" w:cs="Arial"/>
                      <w:b/>
                      <w:bCs/>
                      <w:color w:val="3254A4"/>
                      <w:sz w:val="21"/>
                      <w:szCs w:val="21"/>
                    </w:rPr>
                    <w:t xml:space="preserve"> or </w:t>
                  </w:r>
                  <w:hyperlink r:id="rId8" w:tgtFrame="_blank" w:history="1">
                    <w:r>
                      <w:rPr>
                        <w:rStyle w:val="Hyperlink"/>
                        <w:rFonts w:ascii="Arial" w:eastAsia="Times New Roman" w:hAnsi="Arial" w:cs="Arial"/>
                        <w:b/>
                        <w:bCs/>
                        <w:color w:val="3254A4"/>
                        <w:sz w:val="21"/>
                        <w:szCs w:val="21"/>
                        <w:u w:val="none"/>
                      </w:rPr>
                      <w:t>www.nps.gov/Virginia</w:t>
                    </w:r>
                  </w:hyperlink>
                  <w:r>
                    <w:rPr>
                      <w:rFonts w:ascii="Arial" w:eastAsia="Times New Roman" w:hAnsi="Arial" w:cs="Arial"/>
                      <w:b/>
                      <w:bCs/>
                      <w:color w:val="3254A4"/>
                      <w:sz w:val="21"/>
                      <w:szCs w:val="21"/>
                    </w:rPr>
                    <w:t xml:space="preserve"> .</w:t>
                  </w:r>
                  <w:r>
                    <w:rPr>
                      <w:rFonts w:ascii="Arial" w:eastAsia="Times New Roman" w:hAnsi="Arial" w:cs="Arial"/>
                      <w:color w:val="403F42"/>
                      <w:sz w:val="18"/>
                      <w:szCs w:val="18"/>
                    </w:rPr>
                    <w:t xml:space="preserve"> </w:t>
                  </w:r>
                </w:p>
              </w:tc>
            </w:tr>
          </w:tbl>
          <w:p w14:paraId="5D089BFB" w14:textId="77777777" w:rsidR="007D0324" w:rsidRDefault="007D0324">
            <w:pPr>
              <w:rPr>
                <w:rFonts w:ascii="Times New Roman" w:eastAsia="Times New Roman" w:hAnsi="Times New Roman" w:cs="Times New Roman"/>
                <w:sz w:val="20"/>
                <w:szCs w:val="20"/>
              </w:rPr>
            </w:pPr>
          </w:p>
        </w:tc>
      </w:tr>
    </w:tbl>
    <w:p w14:paraId="345865BA" w14:textId="77777777" w:rsidR="00D452FD" w:rsidRDefault="00D452FD"/>
    <w:sectPr w:rsidR="00D45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24"/>
    <w:rsid w:val="007D0324"/>
    <w:rsid w:val="00D4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CB5D"/>
  <w15:chartTrackingRefBased/>
  <w15:docId w15:val="{EA9E3DC0-4FD2-4BA1-B6C5-1D91D2F6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3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03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zIAnqQpBnfoPN78ACNUO3Y2_3oB0Rp_dMywo7vpwFozN5AftJX2TTQGquE3G7T55XQxRrb4xjjBtzY-E0zTl4s3NXQ_j5OhzHWAEIu95VpW8VH65gCczH8BVi7qLh1h-zWqGofb0xoVSJum0G7TGAWgL4sjMm8YOqRgwpByr1bv9Gv39H2_6HfgFDNsjYpitNUY_ZmDdMgiWmwdgcaMUgb9nL_Qm2ICcgv9odBJ9l2RFapWkrcQWM7spStk2xXnm4c9kPFL6gnMwwQMljtfqPr-uArQIEOathMVjN00fmq8gfj9YD55V_hm1uoqo9kTZKYAPbflOZ64BJxRK6G4V1WIw3cNdC3ucriR78IQA8xkID637Zjpn5VuP7gDsc-3XVhkyUTDppdSPqASPSdkA4gyepWeFWVgtLutc4Rs1mXfuupo6py4TVoKSg62JEUqTlNFqUmr1SCiTTKtvgPAkfwkJaBjpvVkwKtCJwYhoGdEFmbFaSqU2oC6cpKRS4H183LeNuZi8P2lFvUrCTcIqpvwcR6MF3qwnDtQzlvkCjphte08KSAehM194TC0XF45aCN73dJi84OVxQWDK3DfKmJ_2cXlaZ1Bryz0zRy3qWOlw0C8LLVEoGC_zoXA5OsRXgIOEYSdxZPWxwkVY_PhQD60T4FAi06SHPZb8iMyuX-Ak0Y6gCgdwL9JkDnAEslgOfMwlP4FjAHij8iyQrVRXR4QiqtLJwUPd8nBbxEj5gnsWmY2q5-uv7e10Wv_4-rnBj-jd5m7YXnwBUHRGXu8cj1MopY6FHP40440J6CUC98SrNXEHFVHZ6iFMnqhvc8CpCJ6ddMn5ljFAihGDKhFKb9wHJ7QDx2iRVPANKYTz0Po=&amp;c=0If5VmruDf2RBjGBIFRC2tnKvWDo7fulSfl8wxw6RiCOTUW1y3rJUg==&amp;ch=SBAE1HvRDD8CU_ufk_CWQLw53HeA3fjg3hECj_RMX0B1VlM1Glg8_A==" TargetMode="External"/><Relationship Id="rId3" Type="http://schemas.openxmlformats.org/officeDocument/2006/relationships/webSettings" Target="webSettings.xml"/><Relationship Id="rId7" Type="http://schemas.openxmlformats.org/officeDocument/2006/relationships/hyperlink" Target="http://r20.rs6.net/tn.jsp?f=001zIAnqQpBnfoPN78ACNUO3Y2_3oB0Rp_dMywo7vpwFozN5AftJX2TTQGquE3G7T55W0Dnn9Ua22JH-mI4c_3ecY3amdeMwSNf8CSn7u1-VeGgngIEeIRJgHED-inMtiV63UIa_72u0pBdIll9cgEMiCeix4gsuKe6Sp9ZrgSuqSgfQ_fUlp3uo5YgfR7eEoy1-whjqqDlh0-4diijbGh21oYnHjQDt7O7oD556vijKmP20quxN86chBwBFvsI163aYgJ_rLSgqiCRvT8_CAuMby_KKik9Oqv4IuG1WD0EApKvgOxgo-7llg8Oqie9bY3oAkZ3mApLVROCiaWvWwkvXyki4-xa5OdNSbrd0rGx1IpwUZPnL9LIzhDLLmGXeK3b41U7LCkvPDIMaldn-nu1dDdYcw5D5AOZD1zYtHMpAkcRaid4xh-dF1WRMa1YTjx8NNIo5WyijKji7TXmOEaWUCVLkE4fdbpa96cKEQQid_6ZTss0ktVlIeSQ8y767R2bFpGQ4Ob2TWwErptxSyY7YXL49LagQtNjC1cbiaCP08uTdI_1J4uVMxnecUL_T1N-pTZ9oK_B3E1sGpKZy3415jkz8oRQwfSMS506pbHsTpEvpwR1JaFLi3nJEUxi0pjesGanoS2M8nfu4aLqvXgsJtlTxraj67NVja5dPdRW5xN3CKsMvPMkP9SqkhKTL7AxYDPMh5Z8MA6VXvi3O0XUHLpnlxPXAlZ-TzOxTh5fQ1Wuob2qoHUUdgkvUdA3WNh0u1fIOrGuClWXLUyKygKn0XLAWjBs_QYP39JAixH5D8uphsLTAVTGIdPv9iepaOvdsYGJqsi0JXH6VDQNtI6mIGN21nC5LuRve94ZAuLE1FhOSy2FNW8lzg==&amp;c=0If5VmruDf2RBjGBIFRC2tnKvWDo7fulSfl8wxw6RiCOTUW1y3rJUg==&amp;ch=SBAE1HvRDD8CU_ufk_CWQLw53HeA3fjg3hECj_RMX0B1VlM1Glg8_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zIAnqQpBnfoPN78ACNUO3Y2_3oB0Rp_dMywo7vpwFozN5AftJX2TTQGquE3G7T55UgHK0ijJ6oTKRGdwyIMnq4QIIjIR2bpqsEg5imZIItJNuWIbdvOS93idwPjct7FhKVe5yR6PEwEGsm5JrX3hc-qe4JAOg8SGNds6OTOarHBxFwxpZqmsPCAcWHSCM6PebjLJoG6NvF9Y0qfosentbU0r1pwLndAXpKnAuaaIHqhKg907vHj8TB9E7btEB8vRQMN1e6cYzE-feWkkw4IOV3bUmxE9--EsDGisNgK2iCnKsDlxjuIBqKGqIDO-MBQlbnmUwnxecKsuV2hS2A7cZMzhmd1V3V7UbjHdt3TQXM_DJ4wNpnofVf2_YXVrxVi4yrogOLLS3QSZaJwCHaweGylz6iAwXOTApO62FH2ZNXFBHpmHepEAuKUY9iTGOfo7ATqwg4-HSnkF1jCJNH9PXju2GeVPwLGJYBau00hAOu2eBsCHdTst-cN3D6gnPC0Ab4O4lobx5bBrzYFnmiD_J2dyLbhGBjkvwnDpataB1HnlFXSGrU-smTRZvphlb7lkQ9kJZwwv_5ZbbQOkBM5P-v0OMhf6hr1dvyoNpj5I5XAU2VSHgObSC2xLB5o79Oyui5-uC35SlVj0tuOf-7mRZEff8YilS5Y5NvuxM1vVXQNg0AWwvA0vN83ooBTjjAZU79aor7x9owKfiia7A-TyScVihxrY1pyoKKjFTDB4GX6YaWphtrDFEN-rseZM8eIEaVucfph_EcREavEfkY6gNd_oGR7RmRX2hUN7H2szCK5sUkYdw08jvCrNnCjALbn8VkTn6UnyC3X8AFZ6zeiiDjGIFelPCXdPGTrUNqTPm5DnabRDPVOSw02irZOIoqZXvrkKIGykIII=&amp;c=0If5VmruDf2RBjGBIFRC2tnKvWDo7fulSfl8wxw6RiCOTUW1y3rJUg==&amp;ch=SBAE1HvRDD8CU_ufk_CWQLw53HeA3fjg3hECj_RMX0B1VlM1Glg8_A=="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863</Words>
  <Characters>4921</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McDowell</dc:creator>
  <cp:keywords/>
  <dc:description/>
  <cp:lastModifiedBy>Deborah McDowell</cp:lastModifiedBy>
  <cp:revision>1</cp:revision>
  <dcterms:created xsi:type="dcterms:W3CDTF">2020-06-16T12:12:00Z</dcterms:created>
  <dcterms:modified xsi:type="dcterms:W3CDTF">2020-06-16T12:13:00Z</dcterms:modified>
</cp:coreProperties>
</file>