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79F8" w14:textId="77777777" w:rsidR="00B77577" w:rsidRDefault="00CB2191" w:rsidP="00620F94">
      <w:pPr>
        <w:jc w:val="center"/>
      </w:pPr>
      <w:bookmarkStart w:id="0" w:name="_GoBack"/>
      <w:bookmarkEnd w:id="0"/>
    </w:p>
    <w:p w14:paraId="5F531029" w14:textId="77777777" w:rsidR="00B77577" w:rsidRDefault="00CB2191" w:rsidP="00620F94">
      <w:pPr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6930"/>
      </w:tblGrid>
      <w:tr w:rsidR="00620F94" w14:paraId="52F35904" w14:textId="77777777">
        <w:tc>
          <w:tcPr>
            <w:tcW w:w="6840" w:type="dxa"/>
          </w:tcPr>
          <w:p w14:paraId="109FD27C" w14:textId="77777777" w:rsidR="0095153B" w:rsidRPr="0095153B" w:rsidRDefault="00B61528" w:rsidP="00620F94">
            <w:pPr>
              <w:jc w:val="center"/>
              <w:rPr>
                <w:rFonts w:asciiTheme="majorHAnsi" w:hAnsiTheme="majorHAnsi"/>
                <w:b/>
              </w:rPr>
            </w:pPr>
            <w:r w:rsidRPr="0095153B">
              <w:rPr>
                <w:rFonts w:asciiTheme="majorHAnsi" w:hAnsiTheme="majorHAnsi"/>
                <w:b/>
              </w:rPr>
              <w:t>SLP TECHNIQUES</w:t>
            </w:r>
          </w:p>
        </w:tc>
        <w:tc>
          <w:tcPr>
            <w:tcW w:w="6930" w:type="dxa"/>
          </w:tcPr>
          <w:p w14:paraId="5E5A8D80" w14:textId="77777777" w:rsidR="0095153B" w:rsidRPr="0095153B" w:rsidRDefault="00B61528" w:rsidP="00620F94">
            <w:pPr>
              <w:jc w:val="center"/>
              <w:rPr>
                <w:b/>
              </w:rPr>
            </w:pPr>
            <w:r w:rsidRPr="0095153B">
              <w:rPr>
                <w:b/>
              </w:rPr>
              <w:t>CLIENT TECHNIQUES</w:t>
            </w:r>
          </w:p>
        </w:tc>
      </w:tr>
      <w:tr w:rsidR="00620F94" w14:paraId="00E17A61" w14:textId="77777777">
        <w:tc>
          <w:tcPr>
            <w:tcW w:w="6840" w:type="dxa"/>
          </w:tcPr>
          <w:p w14:paraId="5CAACF69" w14:textId="77777777" w:rsidR="0095153B" w:rsidRPr="0095153B" w:rsidRDefault="00B61528" w:rsidP="00620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Tell the client what TO DO, never what NOT to do.</w:t>
            </w:r>
          </w:p>
        </w:tc>
        <w:tc>
          <w:tcPr>
            <w:tcW w:w="6930" w:type="dxa"/>
          </w:tcPr>
          <w:p w14:paraId="1FE3CAA2" w14:textId="77777777" w:rsidR="0095153B" w:rsidRDefault="00B61528" w:rsidP="00620F94">
            <w:r>
              <w:t>1.  Assume the posture of a listener as you truly listen.</w:t>
            </w:r>
          </w:p>
        </w:tc>
      </w:tr>
      <w:tr w:rsidR="00620F94" w14:paraId="1E7B5604" w14:textId="77777777">
        <w:tc>
          <w:tcPr>
            <w:tcW w:w="6840" w:type="dxa"/>
          </w:tcPr>
          <w:p w14:paraId="65208053" w14:textId="77777777" w:rsidR="0095153B" w:rsidRDefault="00B61528" w:rsidP="00620F94">
            <w:r>
              <w:t>2. Work the syllabary.</w:t>
            </w:r>
          </w:p>
        </w:tc>
        <w:tc>
          <w:tcPr>
            <w:tcW w:w="6930" w:type="dxa"/>
          </w:tcPr>
          <w:p w14:paraId="2AE7ECFC" w14:textId="77777777" w:rsidR="0095153B" w:rsidRDefault="00B61528" w:rsidP="00620F94">
            <w:r>
              <w:t>2. Think with your brain, not your lips.</w:t>
            </w:r>
          </w:p>
        </w:tc>
      </w:tr>
      <w:tr w:rsidR="00620F94" w14:paraId="089A396A" w14:textId="77777777">
        <w:tc>
          <w:tcPr>
            <w:tcW w:w="6840" w:type="dxa"/>
          </w:tcPr>
          <w:p w14:paraId="7C9FA274" w14:textId="77777777" w:rsidR="0095153B" w:rsidRDefault="00B61528" w:rsidP="00620F94">
            <w:r>
              <w:t>3. Ensure the client overcomes learned helplessness in an intensive, ongoing program.</w:t>
            </w:r>
          </w:p>
        </w:tc>
        <w:tc>
          <w:tcPr>
            <w:tcW w:w="6930" w:type="dxa"/>
          </w:tcPr>
          <w:p w14:paraId="13283587" w14:textId="77777777" w:rsidR="0095153B" w:rsidRDefault="00B61528" w:rsidP="00620F94">
            <w:r>
              <w:t>3. Demand an intensive program that is ongoing.</w:t>
            </w:r>
          </w:p>
        </w:tc>
      </w:tr>
      <w:tr w:rsidR="00620F94" w14:paraId="10486BF7" w14:textId="77777777">
        <w:tc>
          <w:tcPr>
            <w:tcW w:w="6840" w:type="dxa"/>
          </w:tcPr>
          <w:p w14:paraId="1F9941EB" w14:textId="77777777" w:rsidR="0095153B" w:rsidRDefault="00B61528" w:rsidP="00620F94">
            <w:r>
              <w:t>4. Minute-by-minute, day-by-day, use formative assessment.</w:t>
            </w:r>
          </w:p>
        </w:tc>
        <w:tc>
          <w:tcPr>
            <w:tcW w:w="6930" w:type="dxa"/>
          </w:tcPr>
          <w:p w14:paraId="5582A6DE" w14:textId="77777777" w:rsidR="0095153B" w:rsidRDefault="00B61528" w:rsidP="00620F94">
            <w:r>
              <w:t>4. Become a person recovering from aphasia as you overcome learned helplessness and inattention.</w:t>
            </w:r>
          </w:p>
        </w:tc>
      </w:tr>
      <w:tr w:rsidR="00620F94" w14:paraId="6C49D09F" w14:textId="77777777">
        <w:tc>
          <w:tcPr>
            <w:tcW w:w="6840" w:type="dxa"/>
          </w:tcPr>
          <w:p w14:paraId="4562A9FD" w14:textId="77777777" w:rsidR="0095153B" w:rsidRDefault="00B61528" w:rsidP="00620F94">
            <w:r>
              <w:t>5. Take all responses to a conversational dyad as you revolve everything around conversation.</w:t>
            </w:r>
          </w:p>
        </w:tc>
        <w:tc>
          <w:tcPr>
            <w:tcW w:w="6930" w:type="dxa"/>
          </w:tcPr>
          <w:p w14:paraId="75201EC8" w14:textId="77777777" w:rsidR="0095153B" w:rsidRDefault="00B61528" w:rsidP="00620F94">
            <w:r>
              <w:t>5. Establish and maintain eye contact when talking.</w:t>
            </w:r>
          </w:p>
        </w:tc>
      </w:tr>
      <w:tr w:rsidR="00620F94" w14:paraId="24B43922" w14:textId="77777777">
        <w:tc>
          <w:tcPr>
            <w:tcW w:w="6840" w:type="dxa"/>
          </w:tcPr>
          <w:p w14:paraId="66D5483D" w14:textId="77777777" w:rsidR="0095153B" w:rsidRDefault="00B61528" w:rsidP="00620F94">
            <w:r>
              <w:t>6. Recognize it’s what the client is THINKING, not saying.</w:t>
            </w:r>
          </w:p>
        </w:tc>
        <w:tc>
          <w:tcPr>
            <w:tcW w:w="6930" w:type="dxa"/>
          </w:tcPr>
          <w:p w14:paraId="1F413C55" w14:textId="77777777" w:rsidR="0095153B" w:rsidRDefault="00B61528" w:rsidP="00620F94">
            <w:r>
              <w:t>6. You cannot make a mistake: what you are thinking is what you will say; we need to fix how you think.</w:t>
            </w:r>
          </w:p>
        </w:tc>
      </w:tr>
      <w:tr w:rsidR="00620F94" w14:paraId="2C3777BD" w14:textId="77777777">
        <w:tc>
          <w:tcPr>
            <w:tcW w:w="6840" w:type="dxa"/>
          </w:tcPr>
          <w:p w14:paraId="3100A64B" w14:textId="77777777" w:rsidR="0095153B" w:rsidRPr="00263171" w:rsidRDefault="00B61528" w:rsidP="00620F94">
            <w:pPr>
              <w:jc w:val="center"/>
              <w:rPr>
                <w:b/>
                <w:color w:val="FF0000"/>
              </w:rPr>
            </w:pPr>
            <w:r w:rsidRPr="00263171">
              <w:rPr>
                <w:b/>
                <w:color w:val="FF0000"/>
              </w:rPr>
              <w:t>**ASHA BONUS**</w:t>
            </w:r>
          </w:p>
          <w:p w14:paraId="00F85607" w14:textId="77777777" w:rsidR="0095153B" w:rsidRDefault="00B61528" w:rsidP="00620F94">
            <w:pPr>
              <w:jc w:val="center"/>
            </w:pPr>
            <w:r>
              <w:t>7. Ensure the client: KNOWS &gt; THINKS &gt; PLANS &gt; DOES &gt; FEELS/PROCESSES.</w:t>
            </w:r>
          </w:p>
        </w:tc>
        <w:tc>
          <w:tcPr>
            <w:tcW w:w="6930" w:type="dxa"/>
          </w:tcPr>
          <w:p w14:paraId="520908A8" w14:textId="77777777" w:rsidR="005C59C1" w:rsidRPr="00263171" w:rsidRDefault="00B61528" w:rsidP="00620F94">
            <w:pPr>
              <w:jc w:val="center"/>
              <w:rPr>
                <w:b/>
                <w:color w:val="FF0000"/>
              </w:rPr>
            </w:pPr>
            <w:r w:rsidRPr="00263171">
              <w:rPr>
                <w:b/>
                <w:color w:val="FF0000"/>
              </w:rPr>
              <w:t>**ASHA BONUS**</w:t>
            </w:r>
          </w:p>
          <w:p w14:paraId="3F9E0520" w14:textId="77777777" w:rsidR="0095153B" w:rsidRDefault="00B61528" w:rsidP="00620F94">
            <w:pPr>
              <w:jc w:val="center"/>
            </w:pPr>
            <w:r>
              <w:t>7.  Always use calm repair as you release the effects of stress.</w:t>
            </w:r>
          </w:p>
        </w:tc>
      </w:tr>
    </w:tbl>
    <w:p w14:paraId="66F962B4" w14:textId="77777777" w:rsidR="00620F94" w:rsidRDefault="00CB2191" w:rsidP="005C59C1">
      <w:pPr>
        <w:jc w:val="center"/>
      </w:pPr>
    </w:p>
    <w:p w14:paraId="084C7374" w14:textId="77777777" w:rsidR="005C59C1" w:rsidRPr="009727D2" w:rsidRDefault="00B61528" w:rsidP="005C59C1">
      <w:pPr>
        <w:jc w:val="center"/>
        <w:rPr>
          <w:b/>
          <w:i/>
          <w:sz w:val="28"/>
          <w:szCs w:val="28"/>
        </w:rPr>
      </w:pPr>
      <w:r w:rsidRPr="009727D2">
        <w:rPr>
          <w:b/>
          <w:i/>
          <w:sz w:val="28"/>
          <w:szCs w:val="28"/>
        </w:rPr>
        <w:t xml:space="preserve">Consult with or refer your client to an expert in </w:t>
      </w:r>
      <w:proofErr w:type="spellStart"/>
      <w:r w:rsidRPr="009727D2">
        <w:rPr>
          <w:b/>
          <w:i/>
          <w:sz w:val="28"/>
          <w:szCs w:val="28"/>
        </w:rPr>
        <w:t>neuroplastic</w:t>
      </w:r>
      <w:proofErr w:type="spellEnd"/>
      <w:r w:rsidRPr="009727D2">
        <w:rPr>
          <w:b/>
          <w:i/>
          <w:sz w:val="28"/>
          <w:szCs w:val="28"/>
        </w:rPr>
        <w:t xml:space="preserve"> aphasia treatment and recovery!</w:t>
      </w:r>
    </w:p>
    <w:p w14:paraId="77F5D75E" w14:textId="77777777" w:rsidR="00620F94" w:rsidRPr="00620F94" w:rsidRDefault="00CB2191" w:rsidP="005C59C1">
      <w:pPr>
        <w:jc w:val="center"/>
        <w:rPr>
          <w:b/>
          <w:i/>
          <w:sz w:val="48"/>
          <w:szCs w:val="48"/>
        </w:rPr>
      </w:pPr>
    </w:p>
    <w:p w14:paraId="2D543420" w14:textId="77777777" w:rsidR="005C59C1" w:rsidRPr="00620F94" w:rsidRDefault="00B61528" w:rsidP="005C59C1">
      <w:pPr>
        <w:jc w:val="center"/>
        <w:rPr>
          <w:b/>
          <w:i/>
          <w:color w:val="000000" w:themeColor="text1"/>
          <w:sz w:val="28"/>
          <w:szCs w:val="28"/>
        </w:rPr>
      </w:pPr>
      <w:r w:rsidRPr="00620F94">
        <w:rPr>
          <w:b/>
          <w:i/>
          <w:color w:val="000000" w:themeColor="text1"/>
          <w:sz w:val="28"/>
          <w:szCs w:val="28"/>
        </w:rPr>
        <w:t>Exploiting Neuroplasticity and Mindfulness in Maximizing Aphasia Recovery</w:t>
      </w:r>
    </w:p>
    <w:p w14:paraId="12607696" w14:textId="77777777" w:rsidR="005C59C1" w:rsidRPr="00620F94" w:rsidRDefault="00B61528" w:rsidP="005C59C1">
      <w:pPr>
        <w:rPr>
          <w:color w:val="000000" w:themeColor="text1"/>
          <w:sz w:val="22"/>
          <w:szCs w:val="22"/>
        </w:rPr>
      </w:pPr>
      <w:r w:rsidRPr="00620F94">
        <w:rPr>
          <w:color w:val="000000" w:themeColor="text1"/>
          <w:sz w:val="22"/>
          <w:szCs w:val="22"/>
        </w:rPr>
        <w:t xml:space="preserve">Despite the remarkable scientific advances in neuroplasticity, </w:t>
      </w:r>
      <w:r w:rsidRPr="00620F94">
        <w:rPr>
          <w:bCs/>
          <w:iCs/>
          <w:color w:val="000000" w:themeColor="text1"/>
          <w:sz w:val="22"/>
          <w:szCs w:val="22"/>
        </w:rPr>
        <w:t>insufficient attention has been given to developing innovative tools and techniques to take optimal advantage of neural plasticity in the treatment of aphasia</w:t>
      </w:r>
      <w:r w:rsidRPr="00620F94">
        <w:rPr>
          <w:color w:val="000000" w:themeColor="text1"/>
          <w:sz w:val="22"/>
          <w:szCs w:val="22"/>
        </w:rPr>
        <w:t xml:space="preserve"> (Helm-</w:t>
      </w:r>
      <w:proofErr w:type="spellStart"/>
      <w:r w:rsidRPr="00620F94">
        <w:rPr>
          <w:color w:val="000000" w:themeColor="text1"/>
          <w:sz w:val="22"/>
          <w:szCs w:val="22"/>
        </w:rPr>
        <w:t>Estabrooks</w:t>
      </w:r>
      <w:proofErr w:type="spellEnd"/>
      <w:r w:rsidRPr="00620F94">
        <w:rPr>
          <w:color w:val="000000" w:themeColor="text1"/>
          <w:sz w:val="22"/>
          <w:szCs w:val="22"/>
        </w:rPr>
        <w:t xml:space="preserve">, 2011; Kirkland, 2004; Robbins, 2011; Varley, 2011; Marcotte et al., 2012; Kiran, ISHA convention 2016).  </w:t>
      </w:r>
    </w:p>
    <w:p w14:paraId="19B20C7F" w14:textId="77777777" w:rsidR="005C59C1" w:rsidRPr="00620F94" w:rsidRDefault="00CB2191" w:rsidP="005C59C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9619DC" w14:textId="77777777" w:rsidR="005C59C1" w:rsidRPr="00620F94" w:rsidRDefault="00B61528" w:rsidP="005C59C1">
      <w:pPr>
        <w:rPr>
          <w:color w:val="000000" w:themeColor="text1"/>
          <w:sz w:val="22"/>
          <w:szCs w:val="22"/>
        </w:rPr>
      </w:pPr>
      <w:r w:rsidRPr="00620F94">
        <w:rPr>
          <w:color w:val="000000" w:themeColor="text1"/>
          <w:sz w:val="22"/>
          <w:szCs w:val="22"/>
        </w:rPr>
        <w:t xml:space="preserve">We have applied mindful, </w:t>
      </w:r>
      <w:proofErr w:type="spellStart"/>
      <w:r w:rsidRPr="00620F94">
        <w:rPr>
          <w:color w:val="000000" w:themeColor="text1"/>
          <w:sz w:val="22"/>
          <w:szCs w:val="22"/>
        </w:rPr>
        <w:t>neuroplastic</w:t>
      </w:r>
      <w:proofErr w:type="spellEnd"/>
      <w:r w:rsidRPr="00620F94">
        <w:rPr>
          <w:color w:val="000000" w:themeColor="text1"/>
          <w:sz w:val="22"/>
          <w:szCs w:val="22"/>
        </w:rPr>
        <w:t xml:space="preserve"> philosophies in our everyday practice, whether it be with individual clients of varying ages and severity levels, in a group setting, via </w:t>
      </w:r>
      <w:proofErr w:type="spellStart"/>
      <w:r w:rsidRPr="00620F94">
        <w:rPr>
          <w:color w:val="000000" w:themeColor="text1"/>
          <w:sz w:val="22"/>
          <w:szCs w:val="22"/>
        </w:rPr>
        <w:t>telepractice</w:t>
      </w:r>
      <w:proofErr w:type="spellEnd"/>
      <w:r w:rsidRPr="00620F94">
        <w:rPr>
          <w:color w:val="000000" w:themeColor="text1"/>
          <w:sz w:val="22"/>
          <w:szCs w:val="22"/>
        </w:rPr>
        <w:t>, or within the context of intensive aphasia and apraxia treatment programs.  This involves efficiently and effectively maximizing recovery of functional communication and cognitive skills by replacing learned: non-use, inattention, and helplessness with propositional thought and communication in treatment driven by formative assessment</w:t>
      </w:r>
      <w:r w:rsidRPr="00620F94">
        <w:rPr>
          <w:rFonts w:ascii="Calibri" w:eastAsia="MS PGothic" w:hAnsi="Calibri" w:cs="MS PGothic"/>
          <w:color w:val="000000" w:themeColor="text1"/>
          <w:kern w:val="24"/>
          <w:sz w:val="22"/>
          <w:szCs w:val="22"/>
        </w:rPr>
        <w:t xml:space="preserve"> (</w:t>
      </w:r>
      <w:r w:rsidRPr="00620F94">
        <w:rPr>
          <w:color w:val="000000" w:themeColor="text1"/>
          <w:sz w:val="22"/>
          <w:szCs w:val="22"/>
        </w:rPr>
        <w:t xml:space="preserve">Connors, 2009; Kirkland, 2010; Page 2012; </w:t>
      </w:r>
      <w:proofErr w:type="spellStart"/>
      <w:r w:rsidRPr="00620F94">
        <w:rPr>
          <w:color w:val="000000" w:themeColor="text1"/>
          <w:sz w:val="22"/>
          <w:szCs w:val="22"/>
        </w:rPr>
        <w:t>Pulvermüller</w:t>
      </w:r>
      <w:proofErr w:type="spellEnd"/>
      <w:r w:rsidRPr="00620F94">
        <w:rPr>
          <w:color w:val="000000" w:themeColor="text1"/>
          <w:sz w:val="22"/>
          <w:szCs w:val="22"/>
        </w:rPr>
        <w:t xml:space="preserve">, 2008).  </w:t>
      </w:r>
    </w:p>
    <w:p w14:paraId="3F6AEFD4" w14:textId="77777777" w:rsidR="00620F94" w:rsidRPr="00620F94" w:rsidRDefault="00CB2191" w:rsidP="005C59C1">
      <w:pPr>
        <w:rPr>
          <w:color w:val="000000" w:themeColor="text1"/>
          <w:sz w:val="22"/>
          <w:szCs w:val="22"/>
        </w:rPr>
      </w:pPr>
    </w:p>
    <w:p w14:paraId="047F68DE" w14:textId="77777777" w:rsidR="005C59C1" w:rsidRPr="00620F94" w:rsidRDefault="00B61528" w:rsidP="005C59C1">
      <w:pPr>
        <w:rPr>
          <w:color w:val="000000" w:themeColor="text1"/>
          <w:sz w:val="22"/>
          <w:szCs w:val="22"/>
        </w:rPr>
      </w:pPr>
      <w:r w:rsidRPr="00620F94">
        <w:rPr>
          <w:color w:val="000000" w:themeColor="text1"/>
          <w:sz w:val="22"/>
          <w:szCs w:val="22"/>
        </w:rPr>
        <w:t xml:space="preserve">The discovery of mindfulness, </w:t>
      </w:r>
      <w:proofErr w:type="gramStart"/>
      <w:r w:rsidRPr="00620F94">
        <w:rPr>
          <w:color w:val="000000" w:themeColor="text1"/>
          <w:sz w:val="22"/>
          <w:szCs w:val="22"/>
        </w:rPr>
        <w:t>in particular its</w:t>
      </w:r>
      <w:proofErr w:type="gramEnd"/>
      <w:r w:rsidRPr="00620F94">
        <w:rPr>
          <w:color w:val="000000" w:themeColor="text1"/>
          <w:sz w:val="22"/>
          <w:szCs w:val="22"/>
        </w:rPr>
        <w:t xml:space="preserve"> ability to mitigate aphasia stress, has been a crucial element in aphasia and apraxia recovery.   Mindfulness is different for everyone.  We now know that it plays havoc with attention and mental resource allocation (</w:t>
      </w:r>
      <w:r w:rsidRPr="00620F94">
        <w:rPr>
          <w:rFonts w:cs="Arial"/>
          <w:bCs/>
          <w:color w:val="000000" w:themeColor="text1"/>
          <w:sz w:val="22"/>
          <w:szCs w:val="22"/>
        </w:rPr>
        <w:t>McNeil</w:t>
      </w:r>
      <w:r w:rsidRPr="00620F94">
        <w:rPr>
          <w:rFonts w:cs="Arial"/>
          <w:color w:val="000000" w:themeColor="text1"/>
          <w:sz w:val="22"/>
          <w:szCs w:val="22"/>
        </w:rPr>
        <w:t>, Odell, &amp; Tseng, 1991)</w:t>
      </w:r>
      <w:r w:rsidRPr="00620F94">
        <w:rPr>
          <w:color w:val="000000" w:themeColor="text1"/>
          <w:sz w:val="22"/>
          <w:szCs w:val="22"/>
        </w:rPr>
        <w:t xml:space="preserve">. We have learned a lot about the power of being mindful and how it has quickly made operative changes in our clients’ recovery from aphasia and acquired apraxia. </w:t>
      </w:r>
    </w:p>
    <w:p w14:paraId="26E6BFC0" w14:textId="77777777" w:rsidR="005C59C1" w:rsidRPr="005C59C1" w:rsidRDefault="00CB2191" w:rsidP="005C59C1">
      <w:pPr>
        <w:rPr>
          <w:b/>
          <w:i/>
          <w:sz w:val="28"/>
          <w:szCs w:val="28"/>
        </w:rPr>
      </w:pPr>
    </w:p>
    <w:sectPr w:rsidR="005C59C1" w:rsidRPr="005C59C1" w:rsidSect="00B77577">
      <w:headerReference w:type="default" r:id="rId6"/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0419" w14:textId="77777777" w:rsidR="00B61528" w:rsidRDefault="00B61528" w:rsidP="005C59C1">
      <w:r>
        <w:separator/>
      </w:r>
    </w:p>
  </w:endnote>
  <w:endnote w:type="continuationSeparator" w:id="0">
    <w:p w14:paraId="78D96F6A" w14:textId="77777777" w:rsidR="00B61528" w:rsidRDefault="00B61528" w:rsidP="005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F552" w14:textId="77777777" w:rsidR="009727D2" w:rsidRDefault="00B61528">
    <w:pPr>
      <w:pStyle w:val="Footer"/>
    </w:pPr>
    <w:r>
      <w:t>Brooke Lang, M.A, CCC-</w:t>
    </w:r>
    <w:proofErr w:type="gramStart"/>
    <w:r>
      <w:t>SLP  &amp;</w:t>
    </w:r>
    <w:proofErr w:type="gramEnd"/>
    <w:r>
      <w:t xml:space="preserve"> William Connors, M.A., CCC-SLP</w:t>
    </w:r>
    <w:r>
      <w:tab/>
      <w:t xml:space="preserve">   work for aphasiatoolbox.com®</w:t>
    </w:r>
    <w:r>
      <w:tab/>
      <w:t>Handout: bill@aphasiatoolbox.com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FDF1" w14:textId="77777777" w:rsidR="00B61528" w:rsidRDefault="00B61528" w:rsidP="005C59C1">
      <w:r>
        <w:separator/>
      </w:r>
    </w:p>
  </w:footnote>
  <w:footnote w:type="continuationSeparator" w:id="0">
    <w:p w14:paraId="28AA6B37" w14:textId="77777777" w:rsidR="00B61528" w:rsidRDefault="00B61528" w:rsidP="005C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2612" w14:textId="77777777" w:rsidR="00263171" w:rsidRPr="005C59C1" w:rsidRDefault="00B61528" w:rsidP="005C59C1">
    <w:pPr>
      <w:pStyle w:val="Header"/>
      <w:jc w:val="center"/>
      <w:rPr>
        <w:rFonts w:asciiTheme="majorHAnsi" w:hAnsiTheme="majorHAnsi"/>
        <w:b/>
        <w:i/>
        <w:sz w:val="32"/>
        <w:szCs w:val="32"/>
      </w:rPr>
    </w:pPr>
    <w:proofErr w:type="spellStart"/>
    <w:r w:rsidRPr="005C59C1">
      <w:rPr>
        <w:rFonts w:asciiTheme="majorHAnsi" w:hAnsiTheme="majorHAnsi"/>
        <w:b/>
        <w:i/>
        <w:sz w:val="32"/>
        <w:szCs w:val="32"/>
      </w:rPr>
      <w:t>Neuroplastic</w:t>
    </w:r>
    <w:proofErr w:type="spellEnd"/>
    <w:r w:rsidRPr="005C59C1">
      <w:rPr>
        <w:rFonts w:asciiTheme="majorHAnsi" w:hAnsiTheme="majorHAnsi"/>
        <w:b/>
        <w:i/>
        <w:sz w:val="32"/>
        <w:szCs w:val="32"/>
      </w:rPr>
      <w:t xml:space="preserve"> Mindfulness in Aphasia Recovery: Six Go-To Treatment Techniques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693"/>
    <w:rsid w:val="000F6693"/>
    <w:rsid w:val="00B61528"/>
    <w:rsid w:val="00CB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3038"/>
  <w15:docId w15:val="{643D025C-ACD6-44DC-A6C8-F4B672C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C1"/>
  </w:style>
  <w:style w:type="paragraph" w:styleId="Footer">
    <w:name w:val="footer"/>
    <w:basedOn w:val="Normal"/>
    <w:link w:val="FooterChar"/>
    <w:uiPriority w:val="99"/>
    <w:unhideWhenUsed/>
    <w:rsid w:val="005C5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Swoyer</dc:creator>
  <cp:keywords/>
  <dc:description/>
  <cp:lastModifiedBy>Sharon Rennhack</cp:lastModifiedBy>
  <cp:revision>2</cp:revision>
  <dcterms:created xsi:type="dcterms:W3CDTF">2016-11-23T14:57:00Z</dcterms:created>
  <dcterms:modified xsi:type="dcterms:W3CDTF">2016-11-23T14:57:00Z</dcterms:modified>
</cp:coreProperties>
</file>