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E2F7" w14:textId="77777777" w:rsid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>
        <w:rPr>
          <w:rFonts w:ascii="Century Gothic" w:eastAsia="Times New Roman" w:hAnsi="Century Gothic" w:cs="Times New Roman"/>
          <w:color w:val="000000"/>
          <w:sz w:val="21"/>
          <w:szCs w:val="21"/>
        </w:rPr>
        <w:t>Social-Emotional Learning continued</w:t>
      </w:r>
      <w:proofErr w:type="gramStart"/>
      <w:r>
        <w:rPr>
          <w:rFonts w:ascii="Century Gothic" w:eastAsia="Times New Roman" w:hAnsi="Century Gothic" w:cs="Times New Roman"/>
          <w:color w:val="000000"/>
          <w:sz w:val="21"/>
          <w:szCs w:val="21"/>
        </w:rPr>
        <w:t>…..</w:t>
      </w:r>
      <w:proofErr w:type="gramEnd"/>
    </w:p>
    <w:p w14:paraId="7743272F" w14:textId="77777777" w:rsid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3C636982" w14:textId="77777777" w:rsid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6F718AC6" w14:textId="66433C0B" w:rsidR="00937E66" w:rsidRP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606D78"/>
        </w:rPr>
      </w:pPr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The </w:t>
      </w:r>
      <w:hyperlink r:id="rId4" w:anchor="Definition" w:tgtFrame="_blank" w:history="1">
        <w:r w:rsidRPr="00937E66">
          <w:rPr>
            <w:rFonts w:ascii="Century Gothic" w:eastAsia="Times New Roman" w:hAnsi="Century Gothic" w:cs="Times New Roman"/>
            <w:color w:val="000000"/>
            <w:sz w:val="21"/>
            <w:szCs w:val="21"/>
            <w:u w:val="single"/>
          </w:rPr>
          <w:t xml:space="preserve">5 CASEL Competencies </w:t>
        </w:r>
      </w:hyperlink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are often cited as key areas for social-emotional skill development. These competencies- self-awareness, self-management, social awareness, relationship skills, and responsible decision-making- are best strengthened in classrooms and schools where students experience a positive climate. The </w:t>
      </w:r>
      <w:hyperlink r:id="rId5" w:tgtFrame="_blank" w:history="1">
        <w:r w:rsidRPr="00937E66">
          <w:rPr>
            <w:rFonts w:ascii="Century Gothic" w:eastAsia="Times New Roman" w:hAnsi="Century Gothic" w:cs="Times New Roman"/>
            <w:color w:val="000000"/>
            <w:sz w:val="21"/>
            <w:szCs w:val="21"/>
            <w:u w:val="single"/>
          </w:rPr>
          <w:t xml:space="preserve">Virginia Secondary School Climate Study </w:t>
        </w:r>
      </w:hyperlink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>indicated that school climates characterized by strict but fair structures and caring, respectful relationships correlated with higher academic achievement, fewer suspensions, and a number of other benefits.</w:t>
      </w:r>
    </w:p>
    <w:p w14:paraId="71E5D373" w14:textId="77777777" w:rsidR="00937E66" w:rsidRP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606D78"/>
        </w:rPr>
      </w:pPr>
    </w:p>
    <w:p w14:paraId="18EDD6FE" w14:textId="3DAC8E14" w:rsidR="00937E66" w:rsidRP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606D78"/>
        </w:rPr>
      </w:pPr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Social- emotional competencies are not just equal in importance to academic skills, they are arguably prerequisite. The expertise that educators need to intentionally support social-emotional learning must, like any other complex professional skill set, be understood, transferred into practice, and refined. VASCD's Fourth Annual Whole Child Institute in February will focus on social-emotional learning for adolescents and teens. </w:t>
      </w:r>
      <w:r w:rsidR="00CA1775">
        <w:rPr>
          <w:rFonts w:ascii="Century Gothic" w:eastAsia="Times New Roman" w:hAnsi="Century Gothic" w:cs="Times New Roman"/>
          <w:color w:val="000000"/>
          <w:sz w:val="21"/>
          <w:szCs w:val="21"/>
        </w:rPr>
        <w:t>See this newsletter for more</w:t>
      </w:r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information about the Institute</w:t>
      </w:r>
      <w:bookmarkStart w:id="0" w:name="_GoBack"/>
      <w:bookmarkEnd w:id="0"/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, along with a short list of additional resources that may be helpful in learning more about social-emotional learning. </w:t>
      </w:r>
    </w:p>
    <w:p w14:paraId="775D9D9F" w14:textId="77777777" w:rsidR="00937E66" w:rsidRP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606D78"/>
        </w:rPr>
      </w:pPr>
    </w:p>
    <w:p w14:paraId="5D74C450" w14:textId="77777777" w:rsidR="00937E66" w:rsidRPr="00937E66" w:rsidRDefault="00937E66" w:rsidP="00937E66">
      <w:pPr>
        <w:shd w:val="clear" w:color="auto" w:fill="FFFFFF"/>
        <w:rPr>
          <w:rFonts w:ascii="Century Gothic" w:eastAsia="Times New Roman" w:hAnsi="Century Gothic" w:cs="Times New Roman"/>
          <w:color w:val="606D78"/>
        </w:rPr>
      </w:pPr>
      <w:r w:rsidRPr="00937E66">
        <w:rPr>
          <w:rFonts w:ascii="Century Gothic" w:eastAsia="Times New Roman" w:hAnsi="Century Gothic" w:cs="Times New Roman"/>
          <w:color w:val="000000"/>
          <w:sz w:val="21"/>
          <w:szCs w:val="21"/>
        </w:rPr>
        <w:t>We hope to see you at one of this year's VASCD conferences. Check them out in this issue of the newsletter!</w:t>
      </w:r>
    </w:p>
    <w:p w14:paraId="639C0C19" w14:textId="77777777" w:rsidR="00937E66" w:rsidRPr="00937E66" w:rsidRDefault="00937E66" w:rsidP="00937E66">
      <w:pPr>
        <w:shd w:val="clear" w:color="auto" w:fill="FFFFFF"/>
        <w:jc w:val="right"/>
        <w:rPr>
          <w:rFonts w:ascii="Century Gothic" w:eastAsia="Times New Roman" w:hAnsi="Century Gothic" w:cs="Times New Roman"/>
          <w:color w:val="606D78"/>
        </w:rPr>
      </w:pPr>
      <w:r w:rsidRPr="00937E66">
        <w:rPr>
          <w:rFonts w:ascii="Century Gothic" w:eastAsia="Times New Roman" w:hAnsi="Century Gothic" w:cs="Times New Roman"/>
          <w:color w:val="262C30"/>
          <w:sz w:val="21"/>
          <w:szCs w:val="21"/>
        </w:rPr>
        <w:t>Laurie McCullough</w:t>
      </w:r>
    </w:p>
    <w:p w14:paraId="74890F85" w14:textId="77777777" w:rsidR="00937E66" w:rsidRPr="00937E66" w:rsidRDefault="00937E66" w:rsidP="00937E66">
      <w:pPr>
        <w:shd w:val="clear" w:color="auto" w:fill="FFFFFF"/>
        <w:jc w:val="right"/>
        <w:rPr>
          <w:rFonts w:ascii="Century Gothic" w:eastAsia="Times New Roman" w:hAnsi="Century Gothic" w:cs="Times New Roman"/>
          <w:color w:val="606D78"/>
        </w:rPr>
      </w:pPr>
      <w:r w:rsidRPr="00937E66">
        <w:rPr>
          <w:rFonts w:ascii="Century Gothic" w:eastAsia="Times New Roman" w:hAnsi="Century Gothic" w:cs="Times New Roman"/>
          <w:color w:val="262C30"/>
          <w:sz w:val="21"/>
          <w:szCs w:val="21"/>
        </w:rPr>
        <w:t>Executive Director</w:t>
      </w:r>
    </w:p>
    <w:p w14:paraId="5F3522E2" w14:textId="77777777" w:rsidR="00B11652" w:rsidRDefault="00CA1775"/>
    <w:sectPr w:rsidR="00B11652" w:rsidSect="0044187D">
      <w:pgSz w:w="12240" w:h="15840" w:code="1"/>
      <w:pgMar w:top="1440" w:right="1440" w:bottom="1440" w:left="144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66"/>
    <w:rsid w:val="000138DD"/>
    <w:rsid w:val="000374D4"/>
    <w:rsid w:val="0044187D"/>
    <w:rsid w:val="00493511"/>
    <w:rsid w:val="008764F4"/>
    <w:rsid w:val="00937E66"/>
    <w:rsid w:val="00C954B9"/>
    <w:rsid w:val="00C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A63D6"/>
  <w14:defaultImageDpi w14:val="32767"/>
  <w15:chartTrackingRefBased/>
  <w15:docId w15:val="{0AC6FD39-479B-FB46-8669-CA66049C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y.virginia.edu/faculty-research/centers-labs-projects/research-labs/youth-violence-project/virginia-secondary" TargetMode="External"/><Relationship Id="rId4" Type="http://schemas.openxmlformats.org/officeDocument/2006/relationships/hyperlink" Target="http://secondaryguide.case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McCullough</dc:creator>
  <cp:keywords/>
  <dc:description/>
  <cp:lastModifiedBy>Laurie McCullough</cp:lastModifiedBy>
  <cp:revision>2</cp:revision>
  <dcterms:created xsi:type="dcterms:W3CDTF">2019-01-04T12:13:00Z</dcterms:created>
  <dcterms:modified xsi:type="dcterms:W3CDTF">2019-01-04T12:18:00Z</dcterms:modified>
</cp:coreProperties>
</file>