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3B17" w14:textId="77A58C31" w:rsidR="00FE53D1" w:rsidRPr="004908AE" w:rsidRDefault="00DA0323" w:rsidP="004908AE">
      <w:pPr>
        <w:spacing w:after="0"/>
        <w:jc w:val="center"/>
        <w:rPr>
          <w:b/>
          <w:bCs/>
          <w:sz w:val="22"/>
          <w:szCs w:val="22"/>
        </w:rPr>
      </w:pPr>
      <w:r w:rsidRPr="004908AE">
        <w:rPr>
          <w:b/>
          <w:bCs/>
          <w:noProof/>
          <w:sz w:val="22"/>
          <w:szCs w:val="22"/>
        </w:rPr>
        <w:drawing>
          <wp:inline distT="0" distB="0" distL="0" distR="0" wp14:anchorId="6B1AD892" wp14:editId="65A83768">
            <wp:extent cx="3749040" cy="946873"/>
            <wp:effectExtent l="0" t="0" r="0" b="0"/>
            <wp:docPr id="1280659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633" cy="95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6D6B6" w14:textId="77777777" w:rsidR="00D444EE" w:rsidRDefault="00D444EE" w:rsidP="004908AE">
      <w:pPr>
        <w:spacing w:after="0"/>
        <w:rPr>
          <w:sz w:val="22"/>
          <w:szCs w:val="22"/>
        </w:rPr>
      </w:pPr>
      <w:r w:rsidRPr="004908AE">
        <w:rPr>
          <w:sz w:val="22"/>
          <w:szCs w:val="22"/>
        </w:rPr>
        <w:t>Dear (NAME), </w:t>
      </w:r>
    </w:p>
    <w:p w14:paraId="4A25F944" w14:textId="77777777" w:rsidR="00784C0E" w:rsidRPr="004908AE" w:rsidRDefault="00784C0E" w:rsidP="004908AE">
      <w:pPr>
        <w:spacing w:after="0"/>
        <w:rPr>
          <w:sz w:val="22"/>
          <w:szCs w:val="22"/>
        </w:rPr>
      </w:pPr>
    </w:p>
    <w:p w14:paraId="6FAB5912" w14:textId="2E638F92" w:rsidR="00F014E0" w:rsidRDefault="00D444EE" w:rsidP="004908AE">
      <w:pPr>
        <w:spacing w:after="0"/>
        <w:rPr>
          <w:sz w:val="22"/>
          <w:szCs w:val="22"/>
        </w:rPr>
      </w:pPr>
      <w:r w:rsidRPr="004908AE">
        <w:rPr>
          <w:sz w:val="22"/>
          <w:szCs w:val="22"/>
        </w:rPr>
        <w:t xml:space="preserve">I’m writing to request approval to attend the </w:t>
      </w:r>
      <w:r w:rsidR="000F1BF4" w:rsidRPr="004908AE">
        <w:rPr>
          <w:sz w:val="22"/>
          <w:szCs w:val="22"/>
        </w:rPr>
        <w:t>Basic</w:t>
      </w:r>
      <w:r w:rsidRPr="004908AE">
        <w:rPr>
          <w:sz w:val="22"/>
          <w:szCs w:val="22"/>
        </w:rPr>
        <w:t xml:space="preserve"> Economic Development Cou</w:t>
      </w:r>
      <w:r w:rsidR="000F1BF4" w:rsidRPr="004908AE">
        <w:rPr>
          <w:sz w:val="22"/>
          <w:szCs w:val="22"/>
        </w:rPr>
        <w:t xml:space="preserve">rse </w:t>
      </w:r>
      <w:r w:rsidRPr="004908AE">
        <w:rPr>
          <w:sz w:val="22"/>
          <w:szCs w:val="22"/>
        </w:rPr>
        <w:t>(</w:t>
      </w:r>
      <w:r w:rsidR="000F1BF4" w:rsidRPr="004908AE">
        <w:rPr>
          <w:sz w:val="22"/>
          <w:szCs w:val="22"/>
        </w:rPr>
        <w:t>BEDC</w:t>
      </w:r>
      <w:r w:rsidRPr="004908AE">
        <w:rPr>
          <w:sz w:val="22"/>
          <w:szCs w:val="22"/>
        </w:rPr>
        <w:t>) 202</w:t>
      </w:r>
      <w:r w:rsidR="0045516D">
        <w:rPr>
          <w:sz w:val="22"/>
          <w:szCs w:val="22"/>
        </w:rPr>
        <w:t>5</w:t>
      </w:r>
      <w:r w:rsidRPr="004908AE">
        <w:rPr>
          <w:sz w:val="22"/>
          <w:szCs w:val="22"/>
        </w:rPr>
        <w:t xml:space="preserve">, taking place from </w:t>
      </w:r>
      <w:r w:rsidR="000F1BF4" w:rsidRPr="004908AE">
        <w:rPr>
          <w:sz w:val="22"/>
          <w:szCs w:val="22"/>
        </w:rPr>
        <w:t xml:space="preserve">November </w:t>
      </w:r>
      <w:r w:rsidR="0020460B">
        <w:rPr>
          <w:sz w:val="22"/>
          <w:szCs w:val="22"/>
        </w:rPr>
        <w:t>4</w:t>
      </w:r>
      <w:r w:rsidR="0020460B" w:rsidRPr="0020460B">
        <w:rPr>
          <w:sz w:val="22"/>
          <w:szCs w:val="22"/>
          <w:vertAlign w:val="superscript"/>
        </w:rPr>
        <w:t>th</w:t>
      </w:r>
      <w:r w:rsidR="004F3850" w:rsidRPr="004908AE">
        <w:rPr>
          <w:sz w:val="22"/>
          <w:szCs w:val="22"/>
        </w:rPr>
        <w:t xml:space="preserve"> through November </w:t>
      </w:r>
      <w:r w:rsidR="0020460B">
        <w:rPr>
          <w:sz w:val="22"/>
          <w:szCs w:val="22"/>
        </w:rPr>
        <w:t>6</w:t>
      </w:r>
      <w:r w:rsidR="004F3850" w:rsidRPr="004908AE">
        <w:rPr>
          <w:sz w:val="22"/>
          <w:szCs w:val="22"/>
          <w:vertAlign w:val="superscript"/>
        </w:rPr>
        <w:t>th</w:t>
      </w:r>
      <w:r w:rsidR="004F3850" w:rsidRPr="004908AE">
        <w:rPr>
          <w:sz w:val="22"/>
          <w:szCs w:val="22"/>
        </w:rPr>
        <w:t xml:space="preserve"> in</w:t>
      </w:r>
      <w:r w:rsidR="00B5680B" w:rsidRPr="004908AE">
        <w:rPr>
          <w:sz w:val="22"/>
          <w:szCs w:val="22"/>
        </w:rPr>
        <w:t xml:space="preserve"> </w:t>
      </w:r>
      <w:r w:rsidR="0020460B">
        <w:rPr>
          <w:sz w:val="22"/>
          <w:szCs w:val="22"/>
        </w:rPr>
        <w:t>St. Petersburg</w:t>
      </w:r>
      <w:r w:rsidR="00B5680B" w:rsidRPr="004908AE">
        <w:rPr>
          <w:sz w:val="22"/>
          <w:szCs w:val="22"/>
        </w:rPr>
        <w:t>, Florida.</w:t>
      </w:r>
      <w:r w:rsidR="00F014E0" w:rsidRPr="004908AE">
        <w:rPr>
          <w:sz w:val="22"/>
          <w:szCs w:val="22"/>
        </w:rPr>
        <w:t xml:space="preserve"> In its 4</w:t>
      </w:r>
      <w:r w:rsidR="0020460B">
        <w:rPr>
          <w:sz w:val="22"/>
          <w:szCs w:val="22"/>
        </w:rPr>
        <w:t>9</w:t>
      </w:r>
      <w:r w:rsidR="00F014E0" w:rsidRPr="004908AE">
        <w:rPr>
          <w:sz w:val="22"/>
          <w:szCs w:val="22"/>
        </w:rPr>
        <w:t>th year, the USF Basic Economic Development Course is part of the required curriculum to qualify for the International Economic Development Council’s (IEDC) Certified Economic Developer (</w:t>
      </w:r>
      <w:proofErr w:type="spellStart"/>
      <w:r w:rsidR="00F014E0" w:rsidRPr="004908AE">
        <w:rPr>
          <w:sz w:val="22"/>
          <w:szCs w:val="22"/>
        </w:rPr>
        <w:t>CEcD</w:t>
      </w:r>
      <w:proofErr w:type="spellEnd"/>
      <w:r w:rsidR="00F014E0" w:rsidRPr="004908AE">
        <w:rPr>
          <w:sz w:val="22"/>
          <w:szCs w:val="22"/>
        </w:rPr>
        <w:t>) exam.</w:t>
      </w:r>
    </w:p>
    <w:p w14:paraId="38DCD117" w14:textId="77777777" w:rsidR="003003A5" w:rsidRPr="004908AE" w:rsidRDefault="003003A5" w:rsidP="004908AE">
      <w:pPr>
        <w:spacing w:after="0"/>
        <w:rPr>
          <w:sz w:val="22"/>
          <w:szCs w:val="22"/>
        </w:rPr>
      </w:pPr>
    </w:p>
    <w:p w14:paraId="1D0D53A5" w14:textId="6624B266" w:rsidR="008C56F9" w:rsidRPr="004908AE" w:rsidRDefault="00B5680B" w:rsidP="004908AE">
      <w:pPr>
        <w:spacing w:after="0"/>
        <w:rPr>
          <w:sz w:val="22"/>
          <w:szCs w:val="22"/>
        </w:rPr>
      </w:pPr>
      <w:r w:rsidRPr="004908AE">
        <w:rPr>
          <w:sz w:val="22"/>
          <w:szCs w:val="22"/>
        </w:rPr>
        <w:t xml:space="preserve">The </w:t>
      </w:r>
      <w:r w:rsidR="00D444EE" w:rsidRPr="004908AE">
        <w:rPr>
          <w:sz w:val="22"/>
          <w:szCs w:val="22"/>
        </w:rPr>
        <w:t xml:space="preserve">conference offers a blend of keynotes, breakout sessions, networking opportunities, and workshops that will </w:t>
      </w:r>
      <w:r w:rsidR="00810E19">
        <w:rPr>
          <w:sz w:val="22"/>
          <w:szCs w:val="22"/>
        </w:rPr>
        <w:t xml:space="preserve">positively </w:t>
      </w:r>
      <w:proofErr w:type="gramStart"/>
      <w:r w:rsidR="00810E19">
        <w:rPr>
          <w:sz w:val="22"/>
          <w:szCs w:val="22"/>
        </w:rPr>
        <w:t>impact</w:t>
      </w:r>
      <w:proofErr w:type="gramEnd"/>
      <w:r w:rsidR="00810E19">
        <w:rPr>
          <w:sz w:val="22"/>
          <w:szCs w:val="22"/>
        </w:rPr>
        <w:t xml:space="preserve"> </w:t>
      </w:r>
      <w:r w:rsidR="00D444EE" w:rsidRPr="004908AE">
        <w:rPr>
          <w:sz w:val="22"/>
          <w:szCs w:val="22"/>
        </w:rPr>
        <w:t>our organization. Attending this conference will provide me with valuable insights and strategies that align with our goals. Here are some compelling reasons for me to attend: </w:t>
      </w:r>
    </w:p>
    <w:p w14:paraId="576E7CDB" w14:textId="77777777" w:rsidR="00697F6C" w:rsidRDefault="00697F6C" w:rsidP="00697F6C">
      <w:pPr>
        <w:spacing w:after="0"/>
        <w:rPr>
          <w:b/>
          <w:bCs/>
          <w:sz w:val="22"/>
          <w:szCs w:val="22"/>
        </w:rPr>
      </w:pPr>
    </w:p>
    <w:p w14:paraId="17AC8C5E" w14:textId="2D0861FB" w:rsidR="00697F6C" w:rsidRPr="006B29C8" w:rsidRDefault="00D444EE" w:rsidP="006B29C8">
      <w:pPr>
        <w:spacing w:after="0"/>
        <w:rPr>
          <w:sz w:val="22"/>
          <w:szCs w:val="22"/>
        </w:rPr>
        <w:sectPr w:rsidR="00697F6C" w:rsidRPr="006B29C8" w:rsidSect="00DA032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908AE">
        <w:rPr>
          <w:b/>
          <w:bCs/>
          <w:sz w:val="22"/>
          <w:szCs w:val="22"/>
        </w:rPr>
        <w:t>Comprehensive Learning: </w:t>
      </w:r>
      <w:r w:rsidRPr="004908AE">
        <w:rPr>
          <w:sz w:val="22"/>
          <w:szCs w:val="22"/>
        </w:rPr>
        <w:t xml:space="preserve">The conference will explore </w:t>
      </w:r>
      <w:r w:rsidR="005437E2" w:rsidRPr="004908AE">
        <w:rPr>
          <w:sz w:val="22"/>
          <w:szCs w:val="22"/>
        </w:rPr>
        <w:t xml:space="preserve">several topics </w:t>
      </w:r>
      <w:r w:rsidR="0017410D" w:rsidRPr="004908AE">
        <w:rPr>
          <w:sz w:val="22"/>
          <w:szCs w:val="22"/>
        </w:rPr>
        <w:t>that are exceedingly relevant and impactful to our company</w:t>
      </w:r>
      <w:r w:rsidR="006B29C8">
        <w:rPr>
          <w:sz w:val="22"/>
          <w:szCs w:val="22"/>
        </w:rPr>
        <w:t>:</w:t>
      </w:r>
    </w:p>
    <w:p w14:paraId="02E6C283" w14:textId="77777777" w:rsidR="004F7424" w:rsidRPr="004F7424" w:rsidRDefault="004F7424" w:rsidP="004F7424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</w:pPr>
    </w:p>
    <w:p w14:paraId="71EC43D1" w14:textId="1B00A5D6" w:rsidR="00FB33E4" w:rsidRPr="00EF3B98" w:rsidRDefault="00AA7560" w:rsidP="00EF3B9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</w:pPr>
      <w:r w:rsidRPr="00EF3B98"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t>Economic Development, Marketing, and Attraction</w:t>
      </w:r>
    </w:p>
    <w:p w14:paraId="3FC20F89" w14:textId="7B0BECEB" w:rsidR="00AA7560" w:rsidRPr="00EF3B98" w:rsidRDefault="00AA7560" w:rsidP="00EF3B9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</w:pPr>
      <w:r w:rsidRPr="00EF3B98"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t>Ethics and Economic Development</w:t>
      </w:r>
    </w:p>
    <w:p w14:paraId="20B85811" w14:textId="33FC2037" w:rsidR="00AA7560" w:rsidRPr="00EF3B98" w:rsidRDefault="00AA7560" w:rsidP="00EF3B9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</w:pPr>
      <w:r w:rsidRPr="00EF3B98"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t>Economic Development Finance</w:t>
      </w:r>
    </w:p>
    <w:p w14:paraId="6425EF61" w14:textId="136E8E95" w:rsidR="00AA7560" w:rsidRPr="00EF3B98" w:rsidRDefault="00E10703" w:rsidP="00EF3B9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</w:pPr>
      <w:r w:rsidRPr="00EF3B98"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t>Real Estate Development and Reuse</w:t>
      </w:r>
    </w:p>
    <w:p w14:paraId="7DCD067E" w14:textId="31C8FC83" w:rsidR="00E10703" w:rsidRPr="00EF3B98" w:rsidRDefault="00EF3B98" w:rsidP="42248156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</w:pPr>
      <w:r w:rsidRPr="00EF3B98"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t>Entrepreneurial</w:t>
      </w:r>
      <w:r w:rsidR="00E10703" w:rsidRPr="00EF3B98"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t xml:space="preserve"> and Sma</w:t>
      </w:r>
      <w:r w:rsidR="36A0CAFF" w:rsidRPr="00EF3B98"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t>l</w:t>
      </w:r>
      <w:r w:rsidR="00E10703" w:rsidRPr="00EF3B98"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t>l Business Strategies</w:t>
      </w:r>
      <w:r w:rsidR="004F7424"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br w:type="column"/>
      </w:r>
    </w:p>
    <w:p w14:paraId="4FF68E74" w14:textId="25F61A4A" w:rsidR="42248156" w:rsidRDefault="42248156" w:rsidP="42248156">
      <w:pPr>
        <w:pStyle w:val="ListParagraph"/>
        <w:shd w:val="clear" w:color="auto" w:fill="FFFFFF" w:themeFill="background1"/>
        <w:spacing w:after="0" w:line="240" w:lineRule="auto"/>
        <w:rPr>
          <w:rFonts w:eastAsia="Times New Roman" w:cs="Times New Roman"/>
          <w:color w:val="333333"/>
          <w:sz w:val="22"/>
          <w:szCs w:val="22"/>
        </w:rPr>
      </w:pPr>
    </w:p>
    <w:p w14:paraId="4F0F67E5" w14:textId="24FD4171" w:rsidR="00E10703" w:rsidRPr="00EF3B98" w:rsidRDefault="00E10703" w:rsidP="42248156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</w:pPr>
      <w:r w:rsidRPr="00EF3B98"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t>Workforce Development</w:t>
      </w:r>
    </w:p>
    <w:p w14:paraId="5F7ADC0E" w14:textId="2DB5E4AE" w:rsidR="00E10703" w:rsidRPr="00EF3B98" w:rsidRDefault="00E10703" w:rsidP="00EF3B9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</w:pPr>
      <w:r w:rsidRPr="00EF3B98"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t>Neighborhood Development Strategies</w:t>
      </w:r>
    </w:p>
    <w:p w14:paraId="05770493" w14:textId="354AF33A" w:rsidR="00E10703" w:rsidRPr="00EF3B98" w:rsidRDefault="00E10703" w:rsidP="00EF3B9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</w:pPr>
      <w:r w:rsidRPr="00EF3B98"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t xml:space="preserve">Business </w:t>
      </w:r>
      <w:r w:rsidR="00EF3B98" w:rsidRPr="00EF3B98"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t>Retention</w:t>
      </w:r>
      <w:r w:rsidRPr="00EF3B98"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t xml:space="preserve"> and Expansion</w:t>
      </w:r>
    </w:p>
    <w:p w14:paraId="76667D54" w14:textId="6567E0A6" w:rsidR="00E10703" w:rsidRPr="00EF3B98" w:rsidRDefault="00E10703" w:rsidP="42248156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</w:pPr>
      <w:r w:rsidRPr="00EF3B98"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t xml:space="preserve">Managing Economic Development </w:t>
      </w:r>
      <w:r w:rsidR="00EF3B98" w:rsidRPr="00EF3B98"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t>Organizations</w:t>
      </w:r>
    </w:p>
    <w:p w14:paraId="3B2EB1EA" w14:textId="6FF1D0F4" w:rsidR="00E10703" w:rsidRPr="00EF3B98" w:rsidRDefault="00EF3B98" w:rsidP="00EF3B9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</w:pPr>
      <w:r w:rsidRPr="00EF3B98"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t>Economic Development Strategic Planning</w:t>
      </w:r>
      <w:r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tab/>
      </w:r>
      <w:r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tab/>
      </w:r>
    </w:p>
    <w:p w14:paraId="5191A480" w14:textId="77777777" w:rsidR="00697F6C" w:rsidRDefault="00697F6C" w:rsidP="00481544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  <w:sectPr w:rsidR="00697F6C" w:rsidSect="00697F6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4F67CD1" w14:textId="77777777" w:rsidR="008E3812" w:rsidRPr="004908AE" w:rsidRDefault="008E3812" w:rsidP="00481544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kern w:val="0"/>
          <w:sz w:val="22"/>
          <w:szCs w:val="22"/>
          <w14:ligatures w14:val="none"/>
        </w:rPr>
      </w:pPr>
    </w:p>
    <w:p w14:paraId="3E7F13CC" w14:textId="54BA58AE" w:rsidR="00596705" w:rsidRPr="004908AE" w:rsidRDefault="00D444EE" w:rsidP="00697F6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33333"/>
          <w:kern w:val="0"/>
          <w:sz w:val="22"/>
          <w:szCs w:val="22"/>
          <w14:ligatures w14:val="none"/>
        </w:rPr>
      </w:pPr>
      <w:r w:rsidRPr="004908AE">
        <w:rPr>
          <w:b/>
          <w:bCs/>
          <w:sz w:val="22"/>
          <w:szCs w:val="22"/>
        </w:rPr>
        <w:t>Networking Opportunities: </w:t>
      </w:r>
      <w:r w:rsidRPr="004908AE">
        <w:rPr>
          <w:sz w:val="22"/>
          <w:szCs w:val="22"/>
        </w:rPr>
        <w:t>I’ll be able to engage with industry leaders, peers, and potential partners to exchange ideas and explore new opportunities for collaboration.</w:t>
      </w:r>
    </w:p>
    <w:p w14:paraId="47C56F88" w14:textId="0458E18B" w:rsidR="00D444EE" w:rsidRPr="004908AE" w:rsidRDefault="00D444EE" w:rsidP="00697F6C">
      <w:pPr>
        <w:spacing w:after="0"/>
        <w:rPr>
          <w:sz w:val="22"/>
          <w:szCs w:val="22"/>
        </w:rPr>
      </w:pPr>
      <w:r w:rsidRPr="004908AE">
        <w:rPr>
          <w:b/>
          <w:bCs/>
          <w:sz w:val="22"/>
          <w:szCs w:val="22"/>
        </w:rPr>
        <w:t>Expert Speakers:</w:t>
      </w:r>
      <w:r w:rsidRPr="004908AE">
        <w:rPr>
          <w:sz w:val="22"/>
          <w:szCs w:val="22"/>
        </w:rPr>
        <w:t xml:space="preserve"> The conference will allow me to learn from </w:t>
      </w:r>
      <w:r w:rsidR="0056387B" w:rsidRPr="004908AE">
        <w:rPr>
          <w:sz w:val="22"/>
          <w:szCs w:val="22"/>
        </w:rPr>
        <w:t>a diverse faculty composed of Florida’s leading economic development practitioners deliver</w:t>
      </w:r>
      <w:r w:rsidR="00424754">
        <w:rPr>
          <w:sz w:val="22"/>
          <w:szCs w:val="22"/>
        </w:rPr>
        <w:t>ing</w:t>
      </w:r>
      <w:r w:rsidR="0056387B" w:rsidRPr="004908AE">
        <w:rPr>
          <w:sz w:val="22"/>
          <w:szCs w:val="22"/>
        </w:rPr>
        <w:t xml:space="preserve"> an excellent blend of theory and practice</w:t>
      </w:r>
      <w:r w:rsidR="00CF2718" w:rsidRPr="004908AE">
        <w:rPr>
          <w:sz w:val="22"/>
          <w:szCs w:val="22"/>
        </w:rPr>
        <w:t>.</w:t>
      </w:r>
    </w:p>
    <w:p w14:paraId="7C5485ED" w14:textId="77777777" w:rsidR="00D444EE" w:rsidRPr="004908AE" w:rsidRDefault="00D444EE" w:rsidP="00697F6C">
      <w:pPr>
        <w:spacing w:after="0"/>
        <w:rPr>
          <w:sz w:val="22"/>
          <w:szCs w:val="22"/>
        </w:rPr>
      </w:pPr>
      <w:r w:rsidRPr="004908AE">
        <w:rPr>
          <w:b/>
          <w:bCs/>
          <w:sz w:val="22"/>
          <w:szCs w:val="22"/>
        </w:rPr>
        <w:t>Hands-On Learning:</w:t>
      </w:r>
      <w:r w:rsidRPr="004908AE">
        <w:rPr>
          <w:sz w:val="22"/>
          <w:szCs w:val="22"/>
        </w:rPr>
        <w:t> I’ll get to participate in interactive workshops and panels that address current challenges and emerging trends in economic development.</w:t>
      </w:r>
    </w:p>
    <w:p w14:paraId="51A2C6EA" w14:textId="6E9B3849" w:rsidR="00D444EE" w:rsidRPr="00810E19" w:rsidRDefault="003003A5" w:rsidP="00697F6C">
      <w:pPr>
        <w:spacing w:after="0"/>
        <w:rPr>
          <w:sz w:val="22"/>
          <w:szCs w:val="22"/>
        </w:rPr>
      </w:pPr>
      <w:r w:rsidRPr="00810E19">
        <w:rPr>
          <w:b/>
          <w:bCs/>
          <w:sz w:val="22"/>
          <w:szCs w:val="22"/>
        </w:rPr>
        <w:t xml:space="preserve">The </w:t>
      </w:r>
      <w:r w:rsidR="00DB30DD" w:rsidRPr="00810E19">
        <w:rPr>
          <w:b/>
          <w:bCs/>
          <w:sz w:val="22"/>
          <w:szCs w:val="22"/>
        </w:rPr>
        <w:t>Only Accredited Program in Florida:</w:t>
      </w:r>
      <w:r w:rsidR="00DB30DD" w:rsidRPr="00810E19">
        <w:rPr>
          <w:sz w:val="22"/>
          <w:szCs w:val="22"/>
        </w:rPr>
        <w:t xml:space="preserve"> </w:t>
      </w:r>
      <w:r w:rsidR="006F5C0E" w:rsidRPr="00810E19">
        <w:rPr>
          <w:sz w:val="22"/>
          <w:szCs w:val="22"/>
        </w:rPr>
        <w:t xml:space="preserve">It’s Florida’s only BEDC accredited by the IEDC and is only offered once a year. Class size is limited, so early registration is recommended. </w:t>
      </w:r>
    </w:p>
    <w:p w14:paraId="181984A0" w14:textId="77777777" w:rsidR="008C56F9" w:rsidRPr="008C56F9" w:rsidRDefault="008C56F9" w:rsidP="008C56F9">
      <w:pPr>
        <w:spacing w:after="0"/>
        <w:rPr>
          <w:sz w:val="22"/>
          <w:szCs w:val="22"/>
        </w:rPr>
      </w:pPr>
    </w:p>
    <w:p w14:paraId="5CE6F6A8" w14:textId="277797D0" w:rsidR="00D444EE" w:rsidRPr="004908AE" w:rsidRDefault="00D444EE" w:rsidP="004908AE">
      <w:pPr>
        <w:spacing w:after="0"/>
        <w:rPr>
          <w:sz w:val="22"/>
          <w:szCs w:val="22"/>
        </w:rPr>
      </w:pPr>
      <w:r w:rsidRPr="004908AE">
        <w:rPr>
          <w:sz w:val="22"/>
          <w:szCs w:val="22"/>
        </w:rPr>
        <w:t>Registration covers access to</w:t>
      </w:r>
      <w:r w:rsidR="002010BD">
        <w:rPr>
          <w:sz w:val="22"/>
          <w:szCs w:val="22"/>
        </w:rPr>
        <w:t xml:space="preserve"> </w:t>
      </w:r>
      <w:r w:rsidR="000D02ED">
        <w:rPr>
          <w:sz w:val="22"/>
          <w:szCs w:val="22"/>
        </w:rPr>
        <w:t>meals,</w:t>
      </w:r>
      <w:r w:rsidRPr="004908AE">
        <w:rPr>
          <w:sz w:val="22"/>
          <w:szCs w:val="22"/>
        </w:rPr>
        <w:t xml:space="preserve"> all</w:t>
      </w:r>
      <w:r w:rsidR="00CD1796">
        <w:rPr>
          <w:sz w:val="22"/>
          <w:szCs w:val="22"/>
        </w:rPr>
        <w:t xml:space="preserve"> course</w:t>
      </w:r>
      <w:r w:rsidRPr="004908AE">
        <w:rPr>
          <w:sz w:val="22"/>
          <w:szCs w:val="22"/>
        </w:rPr>
        <w:t xml:space="preserve"> </w:t>
      </w:r>
      <w:r w:rsidR="001C08FB">
        <w:rPr>
          <w:sz w:val="22"/>
          <w:szCs w:val="22"/>
        </w:rPr>
        <w:t>materials</w:t>
      </w:r>
      <w:r w:rsidR="00CD1796">
        <w:rPr>
          <w:sz w:val="22"/>
          <w:szCs w:val="22"/>
        </w:rPr>
        <w:t xml:space="preserve">, </w:t>
      </w:r>
      <w:r w:rsidRPr="004908AE">
        <w:rPr>
          <w:sz w:val="22"/>
          <w:szCs w:val="22"/>
        </w:rPr>
        <w:t>sponsored networking events</w:t>
      </w:r>
      <w:r w:rsidR="002F349F">
        <w:rPr>
          <w:sz w:val="22"/>
          <w:szCs w:val="22"/>
        </w:rPr>
        <w:t xml:space="preserve">, </w:t>
      </w:r>
      <w:r w:rsidR="00C1189C">
        <w:rPr>
          <w:sz w:val="22"/>
          <w:szCs w:val="22"/>
        </w:rPr>
        <w:t>and digital access to USF Corporate Training and Professional Education’s Learning Management System</w:t>
      </w:r>
      <w:r w:rsidR="00E61DA7" w:rsidRPr="004908AE">
        <w:rPr>
          <w:sz w:val="22"/>
          <w:szCs w:val="22"/>
        </w:rPr>
        <w:t>.</w:t>
      </w:r>
      <w:r w:rsidRPr="004908AE">
        <w:rPr>
          <w:sz w:val="22"/>
          <w:szCs w:val="22"/>
        </w:rPr>
        <w:t xml:space="preserve"> You can find more information about </w:t>
      </w:r>
      <w:r w:rsidR="00065F6A" w:rsidRPr="004908AE">
        <w:rPr>
          <w:sz w:val="22"/>
          <w:szCs w:val="22"/>
        </w:rPr>
        <w:t>the BEDC</w:t>
      </w:r>
      <w:r w:rsidRPr="004908AE">
        <w:rPr>
          <w:sz w:val="22"/>
          <w:szCs w:val="22"/>
        </w:rPr>
        <w:t xml:space="preserve"> here: </w:t>
      </w:r>
      <w:hyperlink r:id="rId9" w:history="1">
        <w:r w:rsidR="000106B6" w:rsidRPr="004908AE">
          <w:rPr>
            <w:rStyle w:val="Hyperlink"/>
            <w:sz w:val="22"/>
            <w:szCs w:val="22"/>
          </w:rPr>
          <w:t>Basic Economic Development Course</w:t>
        </w:r>
      </w:hyperlink>
      <w:r w:rsidR="000106B6" w:rsidRPr="004908AE">
        <w:rPr>
          <w:sz w:val="22"/>
          <w:szCs w:val="22"/>
        </w:rPr>
        <w:t>.</w:t>
      </w:r>
      <w:r w:rsidRPr="004908AE">
        <w:rPr>
          <w:sz w:val="22"/>
          <w:szCs w:val="22"/>
        </w:rPr>
        <w:t xml:space="preserve"> I am also available to discuss any questions you may have about the event.  </w:t>
      </w:r>
    </w:p>
    <w:p w14:paraId="1C7A4CA5" w14:textId="77777777" w:rsidR="00E61DA7" w:rsidRPr="004908AE" w:rsidRDefault="00E61DA7" w:rsidP="004908AE">
      <w:pPr>
        <w:spacing w:after="0"/>
        <w:rPr>
          <w:sz w:val="22"/>
          <w:szCs w:val="22"/>
        </w:rPr>
      </w:pPr>
    </w:p>
    <w:p w14:paraId="23917668" w14:textId="77777777" w:rsidR="00D444EE" w:rsidRDefault="00D444EE" w:rsidP="004908AE">
      <w:pPr>
        <w:spacing w:after="0"/>
        <w:rPr>
          <w:sz w:val="22"/>
          <w:szCs w:val="22"/>
        </w:rPr>
      </w:pPr>
      <w:r w:rsidRPr="004908AE">
        <w:rPr>
          <w:sz w:val="22"/>
          <w:szCs w:val="22"/>
        </w:rPr>
        <w:t>Thank you for considering this request. I look forward to your positive response. </w:t>
      </w:r>
    </w:p>
    <w:p w14:paraId="3A8E4630" w14:textId="77777777" w:rsidR="004908AE" w:rsidRPr="004908AE" w:rsidRDefault="004908AE" w:rsidP="004908AE">
      <w:pPr>
        <w:spacing w:after="0"/>
        <w:rPr>
          <w:sz w:val="22"/>
          <w:szCs w:val="22"/>
        </w:rPr>
      </w:pPr>
    </w:p>
    <w:p w14:paraId="1E78326C" w14:textId="77777777" w:rsidR="00D444EE" w:rsidRPr="004908AE" w:rsidRDefault="00D444EE" w:rsidP="004908AE">
      <w:pPr>
        <w:spacing w:after="0"/>
        <w:rPr>
          <w:sz w:val="22"/>
          <w:szCs w:val="22"/>
        </w:rPr>
      </w:pPr>
      <w:r w:rsidRPr="004908AE">
        <w:rPr>
          <w:sz w:val="22"/>
          <w:szCs w:val="22"/>
        </w:rPr>
        <w:t>Best regards, </w:t>
      </w:r>
    </w:p>
    <w:p w14:paraId="04332D62" w14:textId="77777777" w:rsidR="00D444EE" w:rsidRPr="004908AE" w:rsidRDefault="00D444EE" w:rsidP="004908AE">
      <w:pPr>
        <w:spacing w:after="0"/>
        <w:rPr>
          <w:sz w:val="22"/>
          <w:szCs w:val="22"/>
        </w:rPr>
      </w:pPr>
      <w:r w:rsidRPr="004908AE">
        <w:rPr>
          <w:sz w:val="22"/>
          <w:szCs w:val="22"/>
        </w:rPr>
        <w:t>(Your Name) </w:t>
      </w:r>
    </w:p>
    <w:p w14:paraId="63F14999" w14:textId="2A220CC1" w:rsidR="00613234" w:rsidRPr="004908AE" w:rsidRDefault="00D444EE" w:rsidP="004908AE">
      <w:pPr>
        <w:spacing w:after="0"/>
        <w:rPr>
          <w:sz w:val="22"/>
          <w:szCs w:val="22"/>
        </w:rPr>
      </w:pPr>
      <w:r w:rsidRPr="004908AE">
        <w:rPr>
          <w:sz w:val="22"/>
          <w:szCs w:val="22"/>
        </w:rPr>
        <w:t>(Your Job Title) </w:t>
      </w:r>
    </w:p>
    <w:sectPr w:rsidR="00613234" w:rsidRPr="004908AE" w:rsidSect="00697F6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3E0B"/>
    <w:multiLevelType w:val="hybridMultilevel"/>
    <w:tmpl w:val="E114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90774"/>
    <w:multiLevelType w:val="multilevel"/>
    <w:tmpl w:val="2CB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4347F1"/>
    <w:multiLevelType w:val="multilevel"/>
    <w:tmpl w:val="60B20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721197">
    <w:abstractNumId w:val="2"/>
  </w:num>
  <w:num w:numId="2" w16cid:durableId="135606390">
    <w:abstractNumId w:val="1"/>
  </w:num>
  <w:num w:numId="3" w16cid:durableId="142449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EE"/>
    <w:rsid w:val="000106B6"/>
    <w:rsid w:val="00065F6A"/>
    <w:rsid w:val="000D02ED"/>
    <w:rsid w:val="000F1BF4"/>
    <w:rsid w:val="0017410D"/>
    <w:rsid w:val="001C08FB"/>
    <w:rsid w:val="001D325D"/>
    <w:rsid w:val="002010BD"/>
    <w:rsid w:val="0020355D"/>
    <w:rsid w:val="0020460B"/>
    <w:rsid w:val="002F349F"/>
    <w:rsid w:val="003003A5"/>
    <w:rsid w:val="00387B04"/>
    <w:rsid w:val="003F51DE"/>
    <w:rsid w:val="00424754"/>
    <w:rsid w:val="0045516D"/>
    <w:rsid w:val="00481544"/>
    <w:rsid w:val="004908AE"/>
    <w:rsid w:val="004A1BD4"/>
    <w:rsid w:val="004F3850"/>
    <w:rsid w:val="004F7424"/>
    <w:rsid w:val="00527136"/>
    <w:rsid w:val="005437E2"/>
    <w:rsid w:val="0056387B"/>
    <w:rsid w:val="00596705"/>
    <w:rsid w:val="005A0298"/>
    <w:rsid w:val="00613234"/>
    <w:rsid w:val="006264DE"/>
    <w:rsid w:val="006460B6"/>
    <w:rsid w:val="00656A9D"/>
    <w:rsid w:val="0066478B"/>
    <w:rsid w:val="006839ED"/>
    <w:rsid w:val="00697F6C"/>
    <w:rsid w:val="006B29C8"/>
    <w:rsid w:val="006F5C0E"/>
    <w:rsid w:val="00784C0E"/>
    <w:rsid w:val="00805FA6"/>
    <w:rsid w:val="00810E19"/>
    <w:rsid w:val="008C56F9"/>
    <w:rsid w:val="008E3812"/>
    <w:rsid w:val="00964498"/>
    <w:rsid w:val="009C53AD"/>
    <w:rsid w:val="00A45BD3"/>
    <w:rsid w:val="00A67A5C"/>
    <w:rsid w:val="00AA7560"/>
    <w:rsid w:val="00AC561D"/>
    <w:rsid w:val="00B20F5D"/>
    <w:rsid w:val="00B5680B"/>
    <w:rsid w:val="00BB11D9"/>
    <w:rsid w:val="00BC2249"/>
    <w:rsid w:val="00C1189C"/>
    <w:rsid w:val="00C16E52"/>
    <w:rsid w:val="00C253D8"/>
    <w:rsid w:val="00C732AF"/>
    <w:rsid w:val="00CD1796"/>
    <w:rsid w:val="00CF2718"/>
    <w:rsid w:val="00D444EE"/>
    <w:rsid w:val="00DA0323"/>
    <w:rsid w:val="00DA0835"/>
    <w:rsid w:val="00DB30DD"/>
    <w:rsid w:val="00E10703"/>
    <w:rsid w:val="00E61DA7"/>
    <w:rsid w:val="00EF3B98"/>
    <w:rsid w:val="00F014E0"/>
    <w:rsid w:val="00F55738"/>
    <w:rsid w:val="00FA373D"/>
    <w:rsid w:val="00FB33E4"/>
    <w:rsid w:val="00FE0B0E"/>
    <w:rsid w:val="00FE37B2"/>
    <w:rsid w:val="00FE53D1"/>
    <w:rsid w:val="00FF706A"/>
    <w:rsid w:val="36A0CAFF"/>
    <w:rsid w:val="42248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58A0A"/>
  <w15:chartTrackingRefBased/>
  <w15:docId w15:val="{14309346-A0F5-48D6-96FC-F83B119D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4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44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4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2E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8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8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5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sf.edu/continuing-education/lifelong-learning/upskill-reskill/leadership-management/basic-economic-developme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b48e9-4992-486f-8f4e-a6e72b3305fe" xsi:nil="true"/>
    <lcf76f155ced4ddcb4097134ff3c332f xmlns="cf500d1b-b0e8-42c2-9374-f0dea20f33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05F52A337134DA32901FD069F72DF" ma:contentTypeVersion="13" ma:contentTypeDescription="Create a new document." ma:contentTypeScope="" ma:versionID="d19a6c684c24069e30312e54ecf7befc">
  <xsd:schema xmlns:xsd="http://www.w3.org/2001/XMLSchema" xmlns:xs="http://www.w3.org/2001/XMLSchema" xmlns:p="http://schemas.microsoft.com/office/2006/metadata/properties" xmlns:ns2="cf500d1b-b0e8-42c2-9374-f0dea20f3319" xmlns:ns3="2e8b48e9-4992-486f-8f4e-a6e72b3305fe" targetNamespace="http://schemas.microsoft.com/office/2006/metadata/properties" ma:root="true" ma:fieldsID="24c6164acb92c2f910c4aa3ddf4ae3ce" ns2:_="" ns3:_="">
    <xsd:import namespace="cf500d1b-b0e8-42c2-9374-f0dea20f3319"/>
    <xsd:import namespace="2e8b48e9-4992-486f-8f4e-a6e72b330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0d1b-b0e8-42c2-9374-f0dea20f3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cfe719-5118-4d43-ba73-4d58e9725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b48e9-4992-486f-8f4e-a6e72b3305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f4b230-d503-4c23-bf1a-244f9492e95d}" ma:internalName="TaxCatchAll" ma:showField="CatchAllData" ma:web="2e8b48e9-4992-486f-8f4e-a6e72b3305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6E88A-48C7-4187-9989-9DF4A7DF6F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A5C2AC-4B0D-4E15-A80C-0B0F7AD677A7}">
  <ds:schemaRefs>
    <ds:schemaRef ds:uri="http://schemas.microsoft.com/office/2006/metadata/properties"/>
    <ds:schemaRef ds:uri="http://schemas.microsoft.com/office/infopath/2007/PartnerControls"/>
    <ds:schemaRef ds:uri="2e8b48e9-4992-486f-8f4e-a6e72b3305fe"/>
    <ds:schemaRef ds:uri="cf500d1b-b0e8-42c2-9374-f0dea20f3319"/>
  </ds:schemaRefs>
</ds:datastoreItem>
</file>

<file path=customXml/itemProps3.xml><?xml version="1.0" encoding="utf-8"?>
<ds:datastoreItem xmlns:ds="http://schemas.openxmlformats.org/officeDocument/2006/customXml" ds:itemID="{A855BDA6-A7C3-442B-A766-EF063E1E7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00d1b-b0e8-42c2-9374-f0dea20f3319"/>
    <ds:schemaRef ds:uri="2e8b48e9-4992-486f-8f4e-a6e72b330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41bf7de-e2e5-46df-8d67-82607df9deaa}" enabled="0" method="" siteId="{741bf7de-e2e5-46df-8d67-82607df9d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Truman Alfaro</dc:creator>
  <cp:keywords/>
  <dc:description/>
  <cp:lastModifiedBy>Truman Alfaro</cp:lastModifiedBy>
  <cp:revision>4</cp:revision>
  <dcterms:created xsi:type="dcterms:W3CDTF">2025-04-21T19:33:00Z</dcterms:created>
  <dcterms:modified xsi:type="dcterms:W3CDTF">2025-04-21T19:35:00Z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0x010100D0E05F52A337134DA32901FD069F72DF</vt:lpwstr>
  </property>
  <property fmtid="{D5CDD505-2E9C-101B-9397-08002B2CF9AE}" pid="3" name="MediaServiceImageTags">
    <vt:lpwstr/>
  </property>
</Properties>
</file>