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C5D62" w14:textId="77777777" w:rsidR="00F11DA7" w:rsidRDefault="00000000">
      <w:pPr>
        <w:jc w:val="center"/>
        <w:rPr>
          <w:b/>
          <w:bCs/>
          <w:sz w:val="38"/>
          <w:szCs w:val="38"/>
        </w:rPr>
      </w:pPr>
      <w:r>
        <w:rPr>
          <w:b/>
          <w:bCs/>
          <w:sz w:val="38"/>
          <w:szCs w:val="38"/>
        </w:rPr>
        <w:t xml:space="preserve">WELLNESS DAY </w:t>
      </w:r>
    </w:p>
    <w:p w14:paraId="23F764BA" w14:textId="77777777" w:rsidR="00F11DA7" w:rsidRDefault="00000000">
      <w:pPr>
        <w:jc w:val="center"/>
        <w:rPr>
          <w:b/>
          <w:bCs/>
          <w:sz w:val="38"/>
          <w:szCs w:val="38"/>
        </w:rPr>
      </w:pPr>
      <w:r>
        <w:rPr>
          <w:b/>
          <w:bCs/>
          <w:sz w:val="38"/>
          <w:szCs w:val="38"/>
        </w:rPr>
        <w:t xml:space="preserve">AT THE </w:t>
      </w:r>
    </w:p>
    <w:p w14:paraId="64DFEB2A" w14:textId="77777777" w:rsidR="00F11DA7" w:rsidRDefault="00000000">
      <w:pPr>
        <w:jc w:val="center"/>
        <w:rPr>
          <w:b/>
          <w:bCs/>
          <w:sz w:val="38"/>
          <w:szCs w:val="38"/>
        </w:rPr>
      </w:pPr>
      <w:r>
        <w:rPr>
          <w:b/>
          <w:bCs/>
          <w:sz w:val="38"/>
          <w:szCs w:val="38"/>
        </w:rPr>
        <w:t>SENIOR RESOURCE CENTER</w:t>
      </w:r>
    </w:p>
    <w:p w14:paraId="7D4DA1EA" w14:textId="77777777" w:rsidR="00F11DA7" w:rsidRDefault="00000000">
      <w:pPr>
        <w:jc w:val="center"/>
        <w:rPr>
          <w:b/>
          <w:bCs/>
          <w:sz w:val="38"/>
          <w:szCs w:val="38"/>
        </w:rPr>
      </w:pPr>
      <w:r>
        <w:rPr>
          <w:b/>
          <w:bCs/>
          <w:sz w:val="38"/>
          <w:szCs w:val="38"/>
        </w:rPr>
        <w:t>WEDNESDAY, MARCH 11, 2026 AT 12:30</w:t>
      </w:r>
    </w:p>
    <w:p w14:paraId="26499149" w14:textId="77777777" w:rsidR="00F11DA7" w:rsidRDefault="00000000">
      <w:pPr>
        <w:rPr>
          <w:b/>
          <w:bCs/>
          <w:sz w:val="38"/>
          <w:szCs w:val="38"/>
        </w:rPr>
      </w:pPr>
      <w:r>
        <w:rPr>
          <w:noProof/>
        </w:rPr>
        <w:drawing>
          <wp:anchor distT="0" distB="0" distL="0" distR="0" simplePos="0" relativeHeight="251658240" behindDoc="1" locked="0" layoutInCell="1" hidden="0" allowOverlap="1" wp14:anchorId="70298CAA" wp14:editId="050645C8">
            <wp:simplePos x="0" y="0"/>
            <wp:positionH relativeFrom="column">
              <wp:posOffset>2181225</wp:posOffset>
            </wp:positionH>
            <wp:positionV relativeFrom="paragraph">
              <wp:posOffset>94004</wp:posOffset>
            </wp:positionV>
            <wp:extent cx="1508944" cy="96949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08944" cy="969493"/>
                    </a:xfrm>
                    <a:prstGeom prst="rect">
                      <a:avLst/>
                    </a:prstGeom>
                    <a:ln/>
                  </pic:spPr>
                </pic:pic>
              </a:graphicData>
            </a:graphic>
          </wp:anchor>
        </w:drawing>
      </w:r>
    </w:p>
    <w:p w14:paraId="6F5759FC" w14:textId="77777777" w:rsidR="00F11DA7" w:rsidRDefault="00F11DA7">
      <w:pPr>
        <w:jc w:val="center"/>
        <w:rPr>
          <w:b/>
          <w:bCs/>
          <w:sz w:val="38"/>
          <w:szCs w:val="38"/>
        </w:rPr>
      </w:pPr>
    </w:p>
    <w:p w14:paraId="052408CB" w14:textId="77777777" w:rsidR="00F11DA7" w:rsidRDefault="00F11DA7">
      <w:pPr>
        <w:jc w:val="center"/>
        <w:rPr>
          <w:b/>
          <w:bCs/>
          <w:sz w:val="38"/>
          <w:szCs w:val="38"/>
        </w:rPr>
      </w:pPr>
    </w:p>
    <w:p w14:paraId="52720B1E" w14:textId="77777777" w:rsidR="00F11DA7" w:rsidRDefault="00F11DA7">
      <w:pPr>
        <w:jc w:val="center"/>
        <w:rPr>
          <w:b/>
          <w:bCs/>
          <w:sz w:val="38"/>
          <w:szCs w:val="38"/>
        </w:rPr>
      </w:pPr>
    </w:p>
    <w:p w14:paraId="7C2160A7" w14:textId="77777777" w:rsidR="00F11DA7" w:rsidRDefault="00000000">
      <w:pPr>
        <w:jc w:val="center"/>
        <w:rPr>
          <w:b/>
          <w:bCs/>
          <w:sz w:val="38"/>
          <w:szCs w:val="38"/>
        </w:rPr>
      </w:pPr>
      <w:r>
        <w:rPr>
          <w:b/>
          <w:bCs/>
          <w:sz w:val="38"/>
          <w:szCs w:val="38"/>
        </w:rPr>
        <w:t>GIVEN BY DON MACGOWAN</w:t>
      </w:r>
    </w:p>
    <w:p w14:paraId="2785CFF2" w14:textId="77777777" w:rsidR="00F11DA7" w:rsidRDefault="00F11DA7">
      <w:pPr>
        <w:jc w:val="center"/>
        <w:rPr>
          <w:b/>
          <w:bCs/>
          <w:sz w:val="38"/>
          <w:szCs w:val="38"/>
        </w:rPr>
      </w:pPr>
    </w:p>
    <w:p w14:paraId="53873255" w14:textId="77777777" w:rsidR="00F11DA7" w:rsidRDefault="00000000">
      <w:pPr>
        <w:shd w:val="clear" w:color="auto" w:fill="FFFFFF"/>
        <w:spacing w:line="360" w:lineRule="auto"/>
        <w:ind w:right="100"/>
        <w:jc w:val="both"/>
        <w:rPr>
          <w:color w:val="0A0A0A"/>
          <w:sz w:val="24"/>
          <w:szCs w:val="24"/>
        </w:rPr>
      </w:pPr>
      <w:r>
        <w:rPr>
          <w:color w:val="0A0A0A"/>
          <w:sz w:val="24"/>
          <w:szCs w:val="24"/>
        </w:rPr>
        <w:t xml:space="preserve">Attending a presentation on </w:t>
      </w:r>
      <w:hyperlink r:id="rId7">
        <w:r>
          <w:rPr>
            <w:color w:val="1A0DAB"/>
            <w:sz w:val="24"/>
            <w:szCs w:val="24"/>
            <w:u w:val="single"/>
          </w:rPr>
          <w:t>The Seeing Eye® dog foundation</w:t>
        </w:r>
      </w:hyperlink>
      <w:r>
        <w:rPr>
          <w:color w:val="0A0A0A"/>
          <w:sz w:val="24"/>
          <w:szCs w:val="24"/>
        </w:rPr>
        <w:t xml:space="preserve"> offers significant benefits, ranging from educational insights into specialized training to fostering community engagement and disability awareness. Attendees typically learn about the rigorous process of breeding, raising, and training guide dogs, while also learning essential etiquette for interacting with these working teams. </w:t>
      </w:r>
    </w:p>
    <w:p w14:paraId="04A2C24C" w14:textId="77777777" w:rsidR="00F11DA7" w:rsidRDefault="00000000">
      <w:pPr>
        <w:shd w:val="clear" w:color="auto" w:fill="FFFFFF"/>
        <w:spacing w:line="360" w:lineRule="auto"/>
        <w:ind w:right="100"/>
        <w:rPr>
          <w:color w:val="0A0A0A"/>
          <w:sz w:val="24"/>
          <w:szCs w:val="24"/>
        </w:rPr>
      </w:pPr>
      <w:r>
        <w:rPr>
          <w:color w:val="0A0A0A"/>
          <w:sz w:val="24"/>
          <w:szCs w:val="24"/>
        </w:rPr>
        <w:t>Here are some key benefits of attending such a presentation:</w:t>
      </w:r>
    </w:p>
    <w:p w14:paraId="730481CC" w14:textId="77777777" w:rsidR="00F11DA7" w:rsidRDefault="00000000">
      <w:pPr>
        <w:numPr>
          <w:ilvl w:val="0"/>
          <w:numId w:val="1"/>
        </w:numPr>
        <w:shd w:val="clear" w:color="auto" w:fill="FFFFFF"/>
        <w:spacing w:before="180" w:line="360" w:lineRule="auto"/>
      </w:pPr>
      <w:r>
        <w:rPr>
          <w:color w:val="0A0A0A"/>
          <w:sz w:val="24"/>
          <w:szCs w:val="24"/>
        </w:rPr>
        <w:t>Learning Proper Etiquette and Safety: Attendees learn how to behave around guide dogs, such as not distracting them, not feeding them, and asking permission before petting. It also educates pet owners on how to keep their own dogs safe around working guide dog teams.</w:t>
      </w:r>
    </w:p>
    <w:p w14:paraId="0EF4650D" w14:textId="77777777" w:rsidR="00F11DA7" w:rsidRDefault="00000000">
      <w:pPr>
        <w:numPr>
          <w:ilvl w:val="0"/>
          <w:numId w:val="1"/>
        </w:numPr>
        <w:shd w:val="clear" w:color="auto" w:fill="FFFFFF"/>
        <w:spacing w:line="360" w:lineRule="auto"/>
      </w:pPr>
      <w:r>
        <w:rPr>
          <w:color w:val="0A0A0A"/>
          <w:sz w:val="24"/>
          <w:szCs w:val="24"/>
        </w:rPr>
        <w:t>Promoting Disability Awareness and Inclusion: The presentations showcase the capabilities of people who are blind, promoting a better understanding of diversity, inclusion, and the independence that guide dogs provide.</w:t>
      </w:r>
    </w:p>
    <w:p w14:paraId="50D5539A" w14:textId="77777777" w:rsidR="00F11DA7" w:rsidRDefault="00000000">
      <w:pPr>
        <w:numPr>
          <w:ilvl w:val="0"/>
          <w:numId w:val="1"/>
        </w:numPr>
        <w:shd w:val="clear" w:color="auto" w:fill="FFFFFF"/>
        <w:spacing w:line="360" w:lineRule="auto"/>
      </w:pPr>
      <w:r>
        <w:rPr>
          <w:color w:val="0A0A0A"/>
          <w:sz w:val="24"/>
          <w:szCs w:val="24"/>
        </w:rPr>
        <w:t>Learning About Volunteering Opportunities: Attendees can learn how to become puppy raisers, a program where volunteers nurture and socialize puppies from 7-8 weeks until they are about 13-16 months old.</w:t>
      </w:r>
    </w:p>
    <w:p w14:paraId="22F51769" w14:textId="77777777" w:rsidR="00F11DA7" w:rsidRDefault="00000000">
      <w:pPr>
        <w:numPr>
          <w:ilvl w:val="0"/>
          <w:numId w:val="1"/>
        </w:numPr>
        <w:shd w:val="clear" w:color="auto" w:fill="FFFFFF"/>
        <w:spacing w:line="360" w:lineRule="auto"/>
        <w:ind w:right="100"/>
      </w:pPr>
      <w:r>
        <w:rPr>
          <w:color w:val="0A0A0A"/>
          <w:sz w:val="24"/>
          <w:szCs w:val="24"/>
        </w:rPr>
        <w:t xml:space="preserve">Experiencing Live Demonstrations: Often featuring a guide dog and its handler, these presentations offer a firsthand look at the incredible partnership between the human and the dog. </w:t>
      </w:r>
    </w:p>
    <w:p w14:paraId="2F8FD02B" w14:textId="77777777" w:rsidR="00F11DA7" w:rsidRDefault="00000000">
      <w:pPr>
        <w:numPr>
          <w:ilvl w:val="0"/>
          <w:numId w:val="1"/>
        </w:numPr>
        <w:shd w:val="clear" w:color="auto" w:fill="FFFFFF"/>
        <w:spacing w:line="360" w:lineRule="auto"/>
        <w:ind w:right="100"/>
        <w:rPr>
          <w:b/>
          <w:bCs/>
          <w:color w:val="0A0A0A"/>
          <w:sz w:val="24"/>
          <w:szCs w:val="24"/>
          <w:highlight w:val="yellow"/>
        </w:rPr>
      </w:pPr>
      <w:r>
        <w:rPr>
          <w:b/>
          <w:bCs/>
          <w:color w:val="0A0A0A"/>
          <w:sz w:val="24"/>
          <w:szCs w:val="24"/>
          <w:highlight w:val="yellow"/>
        </w:rPr>
        <w:t xml:space="preserve">TO REGISTER FOR THIS WORKSHOP PLEASE EMAIL LISA AT </w:t>
      </w:r>
      <w:hyperlink r:id="rId8">
        <w:r>
          <w:rPr>
            <w:b/>
            <w:bCs/>
            <w:color w:val="1155CC"/>
            <w:sz w:val="24"/>
            <w:szCs w:val="24"/>
            <w:highlight w:val="yellow"/>
            <w:u w:val="single"/>
          </w:rPr>
          <w:t>PROGRAMDIRECTOR@SRCNJ.ORG</w:t>
        </w:r>
      </w:hyperlink>
      <w:r>
        <w:rPr>
          <w:b/>
          <w:bCs/>
          <w:color w:val="0A0A0A"/>
          <w:sz w:val="24"/>
          <w:szCs w:val="24"/>
          <w:highlight w:val="yellow"/>
        </w:rPr>
        <w:t xml:space="preserve"> .  </w:t>
      </w:r>
    </w:p>
    <w:p w14:paraId="3B31BDDD" w14:textId="77777777" w:rsidR="00F11DA7" w:rsidRDefault="00000000">
      <w:pPr>
        <w:numPr>
          <w:ilvl w:val="0"/>
          <w:numId w:val="1"/>
        </w:numPr>
        <w:shd w:val="clear" w:color="auto" w:fill="FFFFFF"/>
        <w:spacing w:after="420" w:line="360" w:lineRule="auto"/>
        <w:ind w:right="100"/>
        <w:rPr>
          <w:b/>
          <w:bCs/>
          <w:color w:val="0A0A0A"/>
          <w:sz w:val="24"/>
          <w:szCs w:val="24"/>
          <w:highlight w:val="yellow"/>
        </w:rPr>
      </w:pPr>
      <w:r>
        <w:rPr>
          <w:b/>
          <w:bCs/>
          <w:color w:val="0A0A0A"/>
          <w:sz w:val="24"/>
          <w:szCs w:val="24"/>
          <w:highlight w:val="yellow"/>
        </w:rPr>
        <w:t>A LIGHT LUNCH WILL BE PROVIDED.</w:t>
      </w:r>
    </w:p>
    <w:p w14:paraId="59453F82" w14:textId="20C485F1" w:rsidR="00A54224" w:rsidRPr="00A54224" w:rsidRDefault="00A54224" w:rsidP="00A54224">
      <w:pPr>
        <w:shd w:val="clear" w:color="auto" w:fill="FFFFFF"/>
        <w:spacing w:after="420" w:line="360" w:lineRule="auto"/>
        <w:ind w:left="360" w:right="100"/>
        <w:jc w:val="right"/>
        <w:rPr>
          <w:b/>
          <w:bCs/>
          <w:sz w:val="24"/>
          <w:szCs w:val="24"/>
        </w:rPr>
      </w:pPr>
      <w:r w:rsidRPr="00A54224">
        <w:rPr>
          <w:b/>
          <w:bCs/>
          <w:sz w:val="24"/>
          <w:szCs w:val="24"/>
        </w:rPr>
        <w:t>(Please turn over for more information)</w:t>
      </w:r>
    </w:p>
    <w:p w14:paraId="7E4DA29F" w14:textId="77777777" w:rsidR="00F11DA7" w:rsidRDefault="00000000">
      <w:pPr>
        <w:spacing w:after="1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The Seeing Eye</w:t>
      </w:r>
      <w:r>
        <w:rPr>
          <w:rFonts w:ascii="Times New Roman" w:eastAsia="Times New Roman" w:hAnsi="Times New Roman" w:cs="Times New Roman"/>
          <w:sz w:val="26"/>
          <w:szCs w:val="26"/>
        </w:rPr>
        <w:t xml:space="preserve"> is a not-for-profit organization whose mission is to enhance the independence, dignity, and self-confidence of people who are blind and visually impaired through the use of Seeing Eye dogs.</w:t>
      </w:r>
    </w:p>
    <w:p w14:paraId="036497B7" w14:textId="77777777" w:rsidR="00F11DA7" w:rsidRDefault="00000000">
      <w:pPr>
        <w:spacing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Seeing Eye breeds and raises puppies to become Seeing Eye dogs, trains the dogs to guide blind people, and instructs blind people in the proper use, handling, and care of the dogs.  It also conducts and supports research on canine health and development.</w:t>
      </w:r>
    </w:p>
    <w:p w14:paraId="451CF4F6" w14:textId="77777777" w:rsidR="00F11DA7"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It is The Seeing Eye’s intent to be recognized for sustained excellence and continuous improvement as the best guide dog school to attend and to support as a donor, volunteer, puppy raiser, or employee.</w:t>
      </w:r>
    </w:p>
    <w:p w14:paraId="02EE6507" w14:textId="77777777" w:rsidR="00F11DA7" w:rsidRDefault="00F11DA7">
      <w:pPr>
        <w:jc w:val="both"/>
        <w:rPr>
          <w:rFonts w:ascii="Times New Roman" w:eastAsia="Times New Roman" w:hAnsi="Times New Roman" w:cs="Times New Roman"/>
          <w:sz w:val="26"/>
          <w:szCs w:val="26"/>
        </w:rPr>
      </w:pPr>
    </w:p>
    <w:p w14:paraId="0EA660FD" w14:textId="77777777" w:rsidR="00F11DA7" w:rsidRDefault="00000000">
      <w:pPr>
        <w:spacing w:after="1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Don MacGowan</w:t>
      </w:r>
      <w:r>
        <w:rPr>
          <w:rFonts w:ascii="Times New Roman" w:eastAsia="Times New Roman" w:hAnsi="Times New Roman" w:cs="Times New Roman"/>
          <w:sz w:val="26"/>
          <w:szCs w:val="26"/>
        </w:rPr>
        <w:t xml:space="preserve"> is a volunteer at The Seeing Eye, working in the Development and Donor &amp; Public Relations side of the organization.  He schedules and coordinates outreach visits to hundreds of organizations reaching thousands of people each year.  And he coordinates the Pennies for Puppies/Dollars for Dogs program which raises over $100,000 for the organization each year.  Don and his wife Diane live in Denville, NJ.  In his working life Don spent forty-plus years in Information Technology in the insurance industry.  He is now pleased to be able to give some of his time to The Seeing Eye and to other worthy organizations.</w:t>
      </w:r>
    </w:p>
    <w:p w14:paraId="1FE37A2B" w14:textId="77777777" w:rsidR="00F11DA7" w:rsidRDefault="00F11DA7">
      <w:pPr>
        <w:jc w:val="both"/>
        <w:rPr>
          <w:rFonts w:ascii="Times New Roman" w:eastAsia="Times New Roman" w:hAnsi="Times New Roman" w:cs="Times New Roman"/>
          <w:sz w:val="26"/>
          <w:szCs w:val="26"/>
        </w:rPr>
      </w:pPr>
    </w:p>
    <w:p w14:paraId="74D28D33" w14:textId="77777777" w:rsidR="00F11DA7" w:rsidRDefault="00000000">
      <w:pPr>
        <w:spacing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Don and other outreach volunteers are </w:t>
      </w:r>
      <w:r>
        <w:rPr>
          <w:rFonts w:ascii="Times New Roman" w:eastAsia="Times New Roman" w:hAnsi="Times New Roman" w:cs="Times New Roman"/>
          <w:b/>
          <w:bCs/>
          <w:sz w:val="26"/>
          <w:szCs w:val="26"/>
        </w:rPr>
        <w:t>pleased to visit</w:t>
      </w:r>
      <w:r>
        <w:rPr>
          <w:rFonts w:ascii="Times New Roman" w:eastAsia="Times New Roman" w:hAnsi="Times New Roman" w:cs="Times New Roman"/>
          <w:sz w:val="26"/>
          <w:szCs w:val="26"/>
        </w:rPr>
        <w:t xml:space="preserve"> organizations and groups of all kinds to tell The Seeing Eye’s story from several perspectives:</w:t>
      </w:r>
    </w:p>
    <w:p w14:paraId="4C7FC59A" w14:textId="77777777" w:rsidR="00F11DA7" w:rsidRDefault="0000000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He talks about the causes of blindness that can occur at different stages of people’s lives and explains how they get around in their daily lives.</w:t>
      </w:r>
    </w:p>
    <w:p w14:paraId="5CCC8A52" w14:textId="77777777" w:rsidR="00F11DA7" w:rsidRDefault="0000000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He discusses the breeds of dogs The Seeing Eye works with and explains what makes them particularly suited to the work they do.</w:t>
      </w:r>
    </w:p>
    <w:p w14:paraId="2DE362C7" w14:textId="77777777" w:rsidR="00F11DA7" w:rsidRDefault="0000000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He talks about The Seeing Eye’s training program, which begins in the Breeding Station (in Chester, NJ), continues with puppy raising, where each puppy lives with a family for 14-15 months while they are growing up, and is followed by four months of formal training at The Seeing Eye’s campus in Morris Township.</w:t>
      </w:r>
    </w:p>
    <w:p w14:paraId="075130DB" w14:textId="77777777" w:rsidR="00F11DA7" w:rsidRDefault="0000000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He tells about the all-important matching process that precedes people who are blind coming to The Seeing Eye to receive and learn to work with their guide dogs. </w:t>
      </w:r>
    </w:p>
    <w:p w14:paraId="50CBFCC0" w14:textId="77777777" w:rsidR="00F11DA7"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CAC3E9F" w14:textId="77777777" w:rsidR="00F11DA7"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Questions and answers are always an important part of a visit.  We know people are curious about what they see in and around Morristown as trainers work with dogs to teach them the skills they need to work successfully with a blind person.  We are happy to discuss all this in as much detail as people would like to hear. </w:t>
      </w:r>
    </w:p>
    <w:p w14:paraId="36EB30AE" w14:textId="77777777" w:rsidR="00F11DA7" w:rsidRDefault="00F11DA7">
      <w:pPr>
        <w:jc w:val="both"/>
        <w:rPr>
          <w:rFonts w:ascii="Times New Roman" w:eastAsia="Times New Roman" w:hAnsi="Times New Roman" w:cs="Times New Roman"/>
          <w:sz w:val="24"/>
          <w:szCs w:val="24"/>
        </w:rPr>
      </w:pPr>
    </w:p>
    <w:p w14:paraId="77B751A8" w14:textId="77777777" w:rsidR="00F11DA7" w:rsidRDefault="00F11DA7">
      <w:pPr>
        <w:jc w:val="both"/>
        <w:rPr>
          <w:rFonts w:ascii="Times New Roman" w:eastAsia="Times New Roman" w:hAnsi="Times New Roman" w:cs="Times New Roman"/>
          <w:sz w:val="24"/>
          <w:szCs w:val="24"/>
        </w:rPr>
      </w:pPr>
    </w:p>
    <w:p w14:paraId="4EC4A10D" w14:textId="77777777" w:rsidR="00F11DA7" w:rsidRDefault="00000000">
      <w:pPr>
        <w:jc w:val="center"/>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14:anchorId="5CAFAC0C" wp14:editId="5A683082">
            <wp:simplePos x="0" y="0"/>
            <wp:positionH relativeFrom="column">
              <wp:posOffset>2310765</wp:posOffset>
            </wp:positionH>
            <wp:positionV relativeFrom="paragraph">
              <wp:posOffset>57150</wp:posOffset>
            </wp:positionV>
            <wp:extent cx="1508944" cy="96949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08944" cy="969493"/>
                    </a:xfrm>
                    <a:prstGeom prst="rect">
                      <a:avLst/>
                    </a:prstGeom>
                    <a:ln/>
                  </pic:spPr>
                </pic:pic>
              </a:graphicData>
            </a:graphic>
          </wp:anchor>
        </w:drawing>
      </w:r>
    </w:p>
    <w:p w14:paraId="686355D9" w14:textId="77777777" w:rsidR="00F11DA7" w:rsidRDefault="00F11DA7">
      <w:pPr>
        <w:jc w:val="both"/>
        <w:rPr>
          <w:rFonts w:ascii="Times New Roman" w:eastAsia="Times New Roman" w:hAnsi="Times New Roman" w:cs="Times New Roman"/>
          <w:sz w:val="24"/>
          <w:szCs w:val="24"/>
        </w:rPr>
      </w:pPr>
    </w:p>
    <w:p w14:paraId="45E155C6" w14:textId="77777777" w:rsidR="00F11DA7" w:rsidRDefault="00000000">
      <w:pPr>
        <w:rPr>
          <w:b/>
          <w:bCs/>
          <w:sz w:val="46"/>
          <w:szCs w:val="4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0A47501" w14:textId="77777777" w:rsidR="00F11DA7" w:rsidRDefault="00F11DA7">
      <w:pPr>
        <w:jc w:val="center"/>
        <w:rPr>
          <w:b/>
          <w:bCs/>
          <w:sz w:val="46"/>
          <w:szCs w:val="46"/>
        </w:rPr>
      </w:pPr>
    </w:p>
    <w:sectPr w:rsidR="00F11DA7">
      <w:pgSz w:w="12240" w:h="15840"/>
      <w:pgMar w:top="720" w:right="1296" w:bottom="720" w:left="129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6D3BE5-8B5A-42B9-8FA4-921C3EB18FCA}"/>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65BC8284-1CA9-4537-91AE-C4741EED2A1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3" w:fontKey="{5507348E-01F1-4113-97EE-FA35D0AD1A32}"/>
  </w:font>
  <w:font w:name="Georgia">
    <w:panose1 w:val="02040502050405020303"/>
    <w:charset w:val="00"/>
    <w:family w:val="auto"/>
    <w:pitch w:val="default"/>
    <w:embedItalic r:id="rId4" w:fontKey="{CB99B9FB-AFEC-4949-B4DD-78EC94478151}"/>
  </w:font>
  <w:font w:name="Cambria">
    <w:panose1 w:val="02040503050406030204"/>
    <w:charset w:val="00"/>
    <w:family w:val="roman"/>
    <w:pitch w:val="variable"/>
    <w:sig w:usb0="E00006FF" w:usb1="420024FF" w:usb2="02000000" w:usb3="00000000" w:csb0="0000019F" w:csb1="00000000"/>
    <w:embedRegular r:id="rId5" w:fontKey="{DE12DD75-935C-4315-9463-E7718DB6B5F4}"/>
  </w:font>
  <w:font w:name="Calibri">
    <w:panose1 w:val="020F0502020204030204"/>
    <w:charset w:val="00"/>
    <w:family w:val="swiss"/>
    <w:pitch w:val="variable"/>
    <w:sig w:usb0="E4002EFF" w:usb1="C200247B" w:usb2="00000009" w:usb3="00000000" w:csb0="000001FF" w:csb1="00000000"/>
    <w:embedRegular r:id="rId6" w:fontKey="{0570C383-079D-4C3B-B6FF-5C3E999BDD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06041"/>
    <w:multiLevelType w:val="multilevel"/>
    <w:tmpl w:val="B4442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6E382E"/>
    <w:multiLevelType w:val="multilevel"/>
    <w:tmpl w:val="5BEE2820"/>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733883">
    <w:abstractNumId w:val="1"/>
  </w:num>
  <w:num w:numId="2" w16cid:durableId="231543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A7"/>
    <w:rsid w:val="00200B30"/>
    <w:rsid w:val="00A54224"/>
    <w:rsid w:val="00CC0447"/>
    <w:rsid w:val="00F11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B6EE3"/>
  <w15:docId w15:val="{D98E1B4E-BCFC-4728-9534-E452D849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1D5422"/>
    <w:rPr>
      <w:rFonts w:ascii="Tahoma" w:hAnsi="Tahoma" w:cs="Tahoma"/>
      <w:sz w:val="16"/>
      <w:szCs w:val="16"/>
    </w:rPr>
  </w:style>
  <w:style w:type="character" w:customStyle="1" w:styleId="BalloonTextChar">
    <w:name w:val="Balloon Text Char"/>
    <w:basedOn w:val="DefaultParagraphFont"/>
    <w:link w:val="BalloonText"/>
    <w:uiPriority w:val="99"/>
    <w:semiHidden/>
    <w:rsid w:val="001D5422"/>
    <w:rPr>
      <w:rFonts w:ascii="Tahoma" w:hAnsi="Tahoma" w:cs="Tahoma"/>
      <w:sz w:val="16"/>
      <w:szCs w:val="16"/>
    </w:rPr>
  </w:style>
  <w:style w:type="paragraph" w:styleId="ListParagraph">
    <w:name w:val="List Paragraph"/>
    <w:basedOn w:val="Normal"/>
    <w:uiPriority w:val="34"/>
    <w:qFormat/>
    <w:rsid w:val="0012212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GRAMDIRECTOR@SRCNJ.ORG" TargetMode="External"/><Relationship Id="rId3" Type="http://schemas.openxmlformats.org/officeDocument/2006/relationships/styles" Target="styles.xml"/><Relationship Id="rId7" Type="http://schemas.openxmlformats.org/officeDocument/2006/relationships/hyperlink" Target="https://pmc.ncbi.nlm.nih.gov/articles/PMC123826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RwZh8SAQnCQCAVdKKzAEQk9dA==">CgMxLjA4AHIhMVRmZWV2ZXpQZ25Jemo0VWUyNk9UMVROd2FWU0hHUGlL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634</Words>
  <Characters>3617</Characters>
  <Application>Microsoft Office Word</Application>
  <DocSecurity>0</DocSecurity>
  <Lines>30</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Pennies</dc:creator>
  <cp:lastModifiedBy>Lisa Sibelman</cp:lastModifiedBy>
  <cp:revision>3</cp:revision>
  <dcterms:created xsi:type="dcterms:W3CDTF">2026-02-18T14:43:00Z</dcterms:created>
  <dcterms:modified xsi:type="dcterms:W3CDTF">2026-02-18T14:45:00Z</dcterms:modified>
</cp:coreProperties>
</file>