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FEF35" w14:textId="2627F270" w:rsidR="001B16DE" w:rsidRPr="001B16DE" w:rsidRDefault="001B16DE" w:rsidP="001B16DE">
      <w:pPr>
        <w:spacing w:line="240" w:lineRule="auto"/>
        <w:rPr>
          <w:rFonts w:ascii="Tahoma" w:hAnsi="Tahoma" w:cs="Tahoma"/>
          <w:b/>
          <w:bCs/>
        </w:rPr>
      </w:pPr>
      <w:r w:rsidRPr="001B16DE">
        <w:rPr>
          <w:rFonts w:ascii="Tahoma" w:hAnsi="Tahoma" w:cs="Tahoma"/>
          <w:b/>
          <w:bCs/>
        </w:rPr>
        <w:drawing>
          <wp:inline distT="0" distB="0" distL="0" distR="0" wp14:anchorId="295E4F96" wp14:editId="696A82EA">
            <wp:extent cx="6858000" cy="2057400"/>
            <wp:effectExtent l="0" t="0" r="0" b="0"/>
            <wp:docPr id="942160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0" cy="2057400"/>
                    </a:xfrm>
                    <a:prstGeom prst="rect">
                      <a:avLst/>
                    </a:prstGeom>
                    <a:noFill/>
                    <a:ln>
                      <a:noFill/>
                    </a:ln>
                  </pic:spPr>
                </pic:pic>
              </a:graphicData>
            </a:graphic>
          </wp:inline>
        </w:drawing>
      </w:r>
    </w:p>
    <w:p w14:paraId="510C58D0" w14:textId="77777777" w:rsidR="001B16DE" w:rsidRPr="001B16DE" w:rsidRDefault="001B16DE" w:rsidP="001B16DE">
      <w:pPr>
        <w:spacing w:line="240" w:lineRule="auto"/>
        <w:rPr>
          <w:rFonts w:ascii="Tahoma" w:hAnsi="Tahoma" w:cs="Tahoma"/>
          <w:b/>
          <w:bCs/>
          <w:sz w:val="4"/>
          <w:szCs w:val="4"/>
          <w:lang w:val="en-GB"/>
        </w:rPr>
      </w:pPr>
    </w:p>
    <w:p w14:paraId="62DE1174" w14:textId="61B81214" w:rsidR="001B16DE" w:rsidRPr="001B16DE" w:rsidRDefault="001B16DE" w:rsidP="001B16DE">
      <w:pPr>
        <w:spacing w:line="240" w:lineRule="auto"/>
        <w:rPr>
          <w:rFonts w:ascii="Tahoma" w:hAnsi="Tahoma" w:cs="Tahoma"/>
          <w:b/>
          <w:bCs/>
          <w:sz w:val="40"/>
          <w:szCs w:val="40"/>
          <w:lang w:val="en-GB"/>
        </w:rPr>
      </w:pPr>
      <w:r w:rsidRPr="001B16DE">
        <w:rPr>
          <w:rFonts w:ascii="Tahoma" w:hAnsi="Tahoma" w:cs="Tahoma"/>
          <w:b/>
          <w:bCs/>
          <w:sz w:val="40"/>
          <w:szCs w:val="40"/>
          <w:lang w:val="en-GB"/>
        </w:rPr>
        <w:t xml:space="preserve">How we see the </w:t>
      </w:r>
      <w:r w:rsidRPr="001B16DE">
        <w:rPr>
          <w:rFonts w:ascii="Tahoma" w:hAnsi="Tahoma" w:cs="Tahoma"/>
          <w:b/>
          <w:bCs/>
          <w:sz w:val="40"/>
          <w:szCs w:val="40"/>
          <w:lang w:val="en-GB"/>
        </w:rPr>
        <w:t>M</w:t>
      </w:r>
      <w:r w:rsidRPr="001B16DE">
        <w:rPr>
          <w:rFonts w:ascii="Tahoma" w:hAnsi="Tahoma" w:cs="Tahoma"/>
          <w:b/>
          <w:bCs/>
          <w:sz w:val="40"/>
          <w:szCs w:val="40"/>
          <w:lang w:val="en-GB"/>
        </w:rPr>
        <w:t xml:space="preserve">idmarket M&amp;A in the U.S. in 2026: Resilience, </w:t>
      </w:r>
      <w:r w:rsidRPr="001B16DE">
        <w:rPr>
          <w:rFonts w:ascii="Tahoma" w:hAnsi="Tahoma" w:cs="Tahoma"/>
          <w:b/>
          <w:bCs/>
          <w:sz w:val="40"/>
          <w:szCs w:val="40"/>
          <w:lang w:val="en-GB"/>
        </w:rPr>
        <w:t>S</w:t>
      </w:r>
      <w:r w:rsidRPr="001B16DE">
        <w:rPr>
          <w:rFonts w:ascii="Tahoma" w:hAnsi="Tahoma" w:cs="Tahoma"/>
          <w:b/>
          <w:bCs/>
          <w:sz w:val="40"/>
          <w:szCs w:val="40"/>
          <w:lang w:val="en-GB"/>
        </w:rPr>
        <w:t xml:space="preserve">hifts, and </w:t>
      </w:r>
      <w:r w:rsidRPr="001B16DE">
        <w:rPr>
          <w:rFonts w:ascii="Tahoma" w:hAnsi="Tahoma" w:cs="Tahoma"/>
          <w:b/>
          <w:bCs/>
          <w:sz w:val="40"/>
          <w:szCs w:val="40"/>
          <w:lang w:val="en-GB"/>
        </w:rPr>
        <w:t>S</w:t>
      </w:r>
      <w:r w:rsidRPr="001B16DE">
        <w:rPr>
          <w:rFonts w:ascii="Tahoma" w:hAnsi="Tahoma" w:cs="Tahoma"/>
          <w:b/>
          <w:bCs/>
          <w:sz w:val="40"/>
          <w:szCs w:val="40"/>
          <w:lang w:val="en-GB"/>
        </w:rPr>
        <w:t xml:space="preserve">elective </w:t>
      </w:r>
      <w:r w:rsidRPr="001B16DE">
        <w:rPr>
          <w:rFonts w:ascii="Tahoma" w:hAnsi="Tahoma" w:cs="Tahoma"/>
          <w:b/>
          <w:bCs/>
          <w:sz w:val="40"/>
          <w:szCs w:val="40"/>
          <w:lang w:val="en-GB"/>
        </w:rPr>
        <w:t>O</w:t>
      </w:r>
      <w:r w:rsidRPr="001B16DE">
        <w:rPr>
          <w:rFonts w:ascii="Tahoma" w:hAnsi="Tahoma" w:cs="Tahoma"/>
          <w:b/>
          <w:bCs/>
          <w:sz w:val="40"/>
          <w:szCs w:val="40"/>
          <w:lang w:val="en-GB"/>
        </w:rPr>
        <w:t>pportunities</w:t>
      </w:r>
    </w:p>
    <w:p w14:paraId="7C50689A" w14:textId="77777777" w:rsidR="001B16DE" w:rsidRPr="001B16DE" w:rsidRDefault="001B16DE" w:rsidP="001B16DE">
      <w:pPr>
        <w:spacing w:line="240" w:lineRule="auto"/>
        <w:jc w:val="both"/>
        <w:rPr>
          <w:rFonts w:ascii="Tahoma" w:hAnsi="Tahoma" w:cs="Tahoma"/>
          <w:lang w:val="en-GB"/>
        </w:rPr>
      </w:pPr>
      <w:r w:rsidRPr="001B16DE">
        <w:rPr>
          <w:rFonts w:ascii="Tahoma" w:hAnsi="Tahoma" w:cs="Tahoma"/>
          <w:lang w:val="en-GB"/>
        </w:rPr>
        <w:t xml:space="preserve">In 2025, the merger and acquisition landscape in the United States has reflected both enduring strength and structural evolution — particularly within the midmarket segment of privately-owned companies. </w:t>
      </w:r>
    </w:p>
    <w:p w14:paraId="33C9D781" w14:textId="77777777" w:rsidR="001B16DE" w:rsidRPr="001B16DE" w:rsidRDefault="001B16DE" w:rsidP="001B16DE">
      <w:pPr>
        <w:spacing w:line="240" w:lineRule="auto"/>
        <w:jc w:val="both"/>
        <w:rPr>
          <w:rFonts w:ascii="Tahoma" w:hAnsi="Tahoma" w:cs="Tahoma"/>
          <w:lang w:val="en-GB"/>
        </w:rPr>
      </w:pPr>
      <w:r w:rsidRPr="001B16DE">
        <w:rPr>
          <w:rFonts w:ascii="Tahoma" w:hAnsi="Tahoma" w:cs="Tahoma"/>
          <w:lang w:val="en-GB"/>
        </w:rPr>
        <w:t>Defined broadly as companies with enterprise values roughly between $10 million and $1 billion (with some variation depending on source and industry), this segment sits at the nexus of entrepreneurial legacy businesses and institutional dealmaking. Recent trends underscore a market adapting to economic volatility, interest-rate shifts, demographic forces, and strategic buyers’ evolving priorities.</w:t>
      </w:r>
    </w:p>
    <w:p w14:paraId="615D3791" w14:textId="77777777" w:rsidR="001B16DE" w:rsidRPr="001B16DE" w:rsidRDefault="001B16DE" w:rsidP="001B16DE">
      <w:pPr>
        <w:spacing w:line="240" w:lineRule="auto"/>
        <w:jc w:val="both"/>
        <w:rPr>
          <w:rFonts w:ascii="Tahoma" w:hAnsi="Tahoma" w:cs="Tahoma"/>
          <w:lang w:val="en-GB"/>
        </w:rPr>
      </w:pPr>
      <w:r w:rsidRPr="001B16DE">
        <w:rPr>
          <w:rFonts w:ascii="Tahoma" w:hAnsi="Tahoma" w:cs="Tahoma"/>
          <w:b/>
          <w:bCs/>
          <w:lang w:val="en-GB"/>
        </w:rPr>
        <w:t>Midmarket deal activity: A tale of two markets</w:t>
      </w:r>
    </w:p>
    <w:p w14:paraId="5029AF5C" w14:textId="77777777" w:rsidR="001B16DE" w:rsidRPr="001B16DE" w:rsidRDefault="001B16DE" w:rsidP="001B16DE">
      <w:pPr>
        <w:spacing w:line="240" w:lineRule="auto"/>
        <w:jc w:val="both"/>
        <w:rPr>
          <w:rFonts w:ascii="Tahoma" w:hAnsi="Tahoma" w:cs="Tahoma"/>
          <w:lang w:val="en-GB"/>
        </w:rPr>
      </w:pPr>
      <w:r w:rsidRPr="001B16DE">
        <w:rPr>
          <w:rFonts w:ascii="Tahoma" w:hAnsi="Tahoma" w:cs="Tahoma"/>
          <w:lang w:val="en-GB"/>
        </w:rPr>
        <w:t xml:space="preserve">Overall M&amp;A activity in the U.S. surged in 2025, with total global deal value reaching approximately $4.4 trillion, and U.S. deals totalling roughly $2.2 trillion — a significant year-over-year increase in value, though deal volume was down slightly. </w:t>
      </w:r>
    </w:p>
    <w:p w14:paraId="6A3935A9" w14:textId="77777777" w:rsidR="001B16DE" w:rsidRPr="001B16DE" w:rsidRDefault="001B16DE" w:rsidP="001B16DE">
      <w:pPr>
        <w:spacing w:line="240" w:lineRule="auto"/>
        <w:jc w:val="both"/>
        <w:rPr>
          <w:rFonts w:ascii="Tahoma" w:hAnsi="Tahoma" w:cs="Tahoma"/>
          <w:lang w:val="en-GB"/>
        </w:rPr>
      </w:pPr>
      <w:r w:rsidRPr="001B16DE">
        <w:rPr>
          <w:rFonts w:ascii="Tahoma" w:hAnsi="Tahoma" w:cs="Tahoma"/>
          <w:lang w:val="en-GB"/>
        </w:rPr>
        <w:t xml:space="preserve">However, data and industry reviews suggest that midmarket dealmaking has been more uneven than headline totals might imply. Some reports show weaker midmarket transaction counts and volume — particularly in the upper end of the midmarket — as buyers and sellers contend with policy uncertainty and valuation gaps. </w:t>
      </w:r>
    </w:p>
    <w:p w14:paraId="2FCC7B0C" w14:textId="77777777" w:rsidR="001B16DE" w:rsidRPr="001B16DE" w:rsidRDefault="001B16DE" w:rsidP="001B16DE">
      <w:pPr>
        <w:spacing w:line="240" w:lineRule="auto"/>
        <w:jc w:val="both"/>
        <w:rPr>
          <w:rFonts w:ascii="Tahoma" w:hAnsi="Tahoma" w:cs="Tahoma"/>
          <w:lang w:val="en-GB"/>
        </w:rPr>
      </w:pPr>
      <w:r w:rsidRPr="001B16DE">
        <w:rPr>
          <w:rFonts w:ascii="Tahoma" w:hAnsi="Tahoma" w:cs="Tahoma"/>
          <w:lang w:val="en-GB"/>
        </w:rPr>
        <w:t xml:space="preserve">At the same time, other analyses portray resilience or even upticks in middle-market deal volumes compared with previous years, driven by strategic acquisitions of cash-flow-oriented businesses and “bolt-on” transactions to strengthen existing platforms. </w:t>
      </w:r>
    </w:p>
    <w:p w14:paraId="52994F5A" w14:textId="77777777" w:rsidR="001B16DE" w:rsidRPr="001B16DE" w:rsidRDefault="001B16DE" w:rsidP="001B16DE">
      <w:pPr>
        <w:spacing w:line="240" w:lineRule="auto"/>
        <w:jc w:val="both"/>
        <w:rPr>
          <w:rFonts w:ascii="Tahoma" w:hAnsi="Tahoma" w:cs="Tahoma"/>
          <w:b/>
          <w:bCs/>
          <w:lang w:val="en-GB"/>
        </w:rPr>
      </w:pPr>
      <w:r w:rsidRPr="001B16DE">
        <w:rPr>
          <w:rFonts w:ascii="Tahoma" w:hAnsi="Tahoma" w:cs="Tahoma"/>
          <w:b/>
          <w:bCs/>
          <w:lang w:val="en-GB"/>
        </w:rPr>
        <w:t>Drivers of sell-side activity: Demographics and succession</w:t>
      </w:r>
    </w:p>
    <w:p w14:paraId="5E862149" w14:textId="77777777" w:rsidR="001B16DE" w:rsidRPr="001B16DE" w:rsidRDefault="001B16DE" w:rsidP="001B16DE">
      <w:pPr>
        <w:spacing w:line="240" w:lineRule="auto"/>
        <w:jc w:val="both"/>
        <w:rPr>
          <w:rFonts w:ascii="Tahoma" w:hAnsi="Tahoma" w:cs="Tahoma"/>
          <w:lang w:val="en-GB"/>
        </w:rPr>
      </w:pPr>
      <w:r w:rsidRPr="001B16DE">
        <w:rPr>
          <w:rFonts w:ascii="Tahoma" w:hAnsi="Tahoma" w:cs="Tahoma"/>
          <w:lang w:val="en-GB"/>
        </w:rPr>
        <w:t xml:space="preserve">A powerful structural influence on U.S. midmarket M&amp;A is the aging ownership base of privately held companies. There are hundreds of thousands of such firms whose owners are entering retirement age, prompting considerations about legacy, transition, and monetization. </w:t>
      </w:r>
    </w:p>
    <w:p w14:paraId="5AB7D572" w14:textId="0CA24B2D" w:rsidR="001B16DE" w:rsidRPr="001B16DE" w:rsidRDefault="001B16DE" w:rsidP="001B16DE">
      <w:pPr>
        <w:spacing w:line="240" w:lineRule="auto"/>
        <w:jc w:val="both"/>
        <w:rPr>
          <w:rFonts w:ascii="Tahoma" w:hAnsi="Tahoma" w:cs="Tahoma"/>
          <w:lang w:val="en-GB"/>
        </w:rPr>
      </w:pPr>
      <w:r w:rsidRPr="001B16DE">
        <w:rPr>
          <w:rFonts w:ascii="Tahoma" w:hAnsi="Tahoma" w:cs="Tahoma"/>
          <w:lang w:val="en-GB"/>
        </w:rPr>
        <w:t>For many of these owners, selling is not just an economic decision but a deeply personal one — framed around succession planning, employee welfare, and legacy preservation.</w:t>
      </w:r>
      <w:r w:rsidRPr="001B16DE">
        <w:rPr>
          <w:rFonts w:ascii="Tahoma" w:hAnsi="Tahoma" w:cs="Tahoma"/>
          <w:lang w:val="en-GB"/>
        </w:rPr>
        <w:t xml:space="preserve"> This </w:t>
      </w:r>
      <w:r w:rsidRPr="001B16DE">
        <w:rPr>
          <w:rFonts w:ascii="Tahoma" w:hAnsi="Tahoma" w:cs="Tahoma"/>
          <w:lang w:val="en-GB"/>
        </w:rPr>
        <w:t>emotional complexity often leads sellers to prioritize buyers who share their vision, whether strategic acquirers or private equity partners capable of maintaining the business’s identity post-transaction.</w:t>
      </w:r>
    </w:p>
    <w:p w14:paraId="0E7F6120" w14:textId="77777777" w:rsidR="001B16DE" w:rsidRPr="001B16DE" w:rsidRDefault="001B16DE" w:rsidP="001B16DE">
      <w:pPr>
        <w:spacing w:line="240" w:lineRule="auto"/>
        <w:jc w:val="both"/>
        <w:rPr>
          <w:rFonts w:ascii="Tahoma" w:hAnsi="Tahoma" w:cs="Tahoma"/>
          <w:b/>
          <w:bCs/>
          <w:lang w:val="en-GB"/>
        </w:rPr>
      </w:pPr>
    </w:p>
    <w:p w14:paraId="01D671DD" w14:textId="77777777" w:rsidR="001B16DE" w:rsidRDefault="001B16DE" w:rsidP="001B16DE">
      <w:pPr>
        <w:spacing w:line="240" w:lineRule="auto"/>
        <w:jc w:val="both"/>
        <w:rPr>
          <w:rFonts w:ascii="Tahoma" w:hAnsi="Tahoma" w:cs="Tahoma"/>
          <w:b/>
          <w:bCs/>
          <w:lang w:val="en-GB"/>
        </w:rPr>
      </w:pPr>
    </w:p>
    <w:p w14:paraId="3C62E685" w14:textId="362D45AB" w:rsidR="001B16DE" w:rsidRPr="001B16DE" w:rsidRDefault="001B16DE" w:rsidP="001B16DE">
      <w:pPr>
        <w:spacing w:line="240" w:lineRule="auto"/>
        <w:jc w:val="both"/>
        <w:rPr>
          <w:rFonts w:ascii="Tahoma" w:hAnsi="Tahoma" w:cs="Tahoma"/>
          <w:b/>
          <w:bCs/>
          <w:lang w:val="en-GB"/>
        </w:rPr>
      </w:pPr>
      <w:r w:rsidRPr="001B16DE">
        <w:rPr>
          <w:rFonts w:ascii="Tahoma" w:hAnsi="Tahoma" w:cs="Tahoma"/>
          <w:b/>
          <w:bCs/>
          <w:lang w:val="en-GB"/>
        </w:rPr>
        <w:t>What buyers want: Cash flows, specialization, and strategic fits</w:t>
      </w:r>
    </w:p>
    <w:p w14:paraId="39323E2E" w14:textId="77777777" w:rsidR="001B16DE" w:rsidRPr="001B16DE" w:rsidRDefault="001B16DE" w:rsidP="001B16DE">
      <w:pPr>
        <w:spacing w:line="240" w:lineRule="auto"/>
        <w:jc w:val="both"/>
        <w:rPr>
          <w:rFonts w:ascii="Tahoma" w:hAnsi="Tahoma" w:cs="Tahoma"/>
          <w:lang w:val="en-GB"/>
        </w:rPr>
      </w:pPr>
      <w:r w:rsidRPr="001B16DE">
        <w:rPr>
          <w:rFonts w:ascii="Tahoma" w:hAnsi="Tahoma" w:cs="Tahoma"/>
          <w:lang w:val="en-GB"/>
        </w:rPr>
        <w:t xml:space="preserve">Buyers in the midmarket remain selective. Those companies with stable cash flows, recurring revenue, or positions in sectors with solid growth prospects — such as certain services and niche industrials — continue to attract strong interest. </w:t>
      </w:r>
    </w:p>
    <w:p w14:paraId="57883796" w14:textId="77777777" w:rsidR="001B16DE" w:rsidRPr="001B16DE" w:rsidRDefault="001B16DE" w:rsidP="001B16DE">
      <w:pPr>
        <w:spacing w:line="240" w:lineRule="auto"/>
        <w:jc w:val="both"/>
        <w:rPr>
          <w:rFonts w:ascii="Tahoma" w:hAnsi="Tahoma" w:cs="Tahoma"/>
          <w:lang w:val="en-GB"/>
        </w:rPr>
      </w:pPr>
      <w:r w:rsidRPr="001B16DE">
        <w:rPr>
          <w:rFonts w:ascii="Tahoma" w:hAnsi="Tahoma" w:cs="Tahoma"/>
          <w:lang w:val="en-GB"/>
        </w:rPr>
        <w:t xml:space="preserve">Strategic buyers and private equity firms are also actively pursuing “add-on” acquisitions — smaller firms that can be integrated into larger platforms to generate scale efficiencies and expand geographic reach. This roll-up strategy has been especially prominent in industries such as healthcare services, financial services advisors, and specialized business services. </w:t>
      </w:r>
    </w:p>
    <w:p w14:paraId="1FC95D45" w14:textId="77777777" w:rsidR="001B16DE" w:rsidRPr="001B16DE" w:rsidRDefault="001B16DE" w:rsidP="001B16DE">
      <w:pPr>
        <w:spacing w:line="240" w:lineRule="auto"/>
        <w:jc w:val="both"/>
        <w:rPr>
          <w:rFonts w:ascii="Tahoma" w:hAnsi="Tahoma" w:cs="Tahoma"/>
          <w:b/>
          <w:bCs/>
          <w:lang w:val="en-GB"/>
        </w:rPr>
      </w:pPr>
      <w:r w:rsidRPr="001B16DE">
        <w:rPr>
          <w:rFonts w:ascii="Tahoma" w:hAnsi="Tahoma" w:cs="Tahoma"/>
          <w:b/>
          <w:bCs/>
          <w:lang w:val="en-GB"/>
        </w:rPr>
        <w:t>The role of private equity and financing dynamics</w:t>
      </w:r>
    </w:p>
    <w:p w14:paraId="0B0BE980" w14:textId="77777777" w:rsidR="001B16DE" w:rsidRPr="001B16DE" w:rsidRDefault="001B16DE" w:rsidP="001B16DE">
      <w:pPr>
        <w:spacing w:line="240" w:lineRule="auto"/>
        <w:jc w:val="both"/>
        <w:rPr>
          <w:rFonts w:ascii="Tahoma" w:hAnsi="Tahoma" w:cs="Tahoma"/>
          <w:lang w:val="en-GB"/>
        </w:rPr>
      </w:pPr>
      <w:r w:rsidRPr="001B16DE">
        <w:rPr>
          <w:rFonts w:ascii="Tahoma" w:hAnsi="Tahoma" w:cs="Tahoma"/>
          <w:lang w:val="en-GB"/>
        </w:rPr>
        <w:t xml:space="preserve">Private equity remains a key buyer class in midmarket M&amp;A, buoyed by substantial amounts of unallocated capital (“dry powder”). PE firms have shifted focus toward mid-sized acquisitions where valuations are more reasonable, and growth potential is clear. </w:t>
      </w:r>
    </w:p>
    <w:p w14:paraId="63098746" w14:textId="77777777" w:rsidR="001B16DE" w:rsidRPr="001B16DE" w:rsidRDefault="001B16DE" w:rsidP="001B16DE">
      <w:pPr>
        <w:spacing w:line="240" w:lineRule="auto"/>
        <w:jc w:val="both"/>
        <w:rPr>
          <w:rFonts w:ascii="Tahoma" w:hAnsi="Tahoma" w:cs="Tahoma"/>
          <w:lang w:val="en-GB"/>
        </w:rPr>
      </w:pPr>
      <w:r w:rsidRPr="001B16DE">
        <w:rPr>
          <w:rFonts w:ascii="Tahoma" w:hAnsi="Tahoma" w:cs="Tahoma"/>
          <w:lang w:val="en-GB"/>
        </w:rPr>
        <w:t xml:space="preserve">Yet the broader macro environment — including interest rate trends, credit availability, and regulatory policy — continues to shape financing dynamics. While some financing conditions have become more accessible, midmarket deals often still rely on creative structures such as earn-outs and equity rollovers to bridge valuation differences between buyers and sellers. </w:t>
      </w:r>
    </w:p>
    <w:p w14:paraId="7F9775F9" w14:textId="77777777" w:rsidR="001B16DE" w:rsidRPr="001B16DE" w:rsidRDefault="001B16DE" w:rsidP="001B16DE">
      <w:pPr>
        <w:spacing w:line="240" w:lineRule="auto"/>
        <w:jc w:val="both"/>
        <w:rPr>
          <w:rFonts w:ascii="Tahoma" w:hAnsi="Tahoma" w:cs="Tahoma"/>
          <w:b/>
          <w:bCs/>
          <w:lang w:val="en-GB"/>
        </w:rPr>
      </w:pPr>
      <w:r w:rsidRPr="001B16DE">
        <w:rPr>
          <w:rFonts w:ascii="Tahoma" w:hAnsi="Tahoma" w:cs="Tahoma"/>
          <w:b/>
          <w:bCs/>
          <w:lang w:val="en-GB"/>
        </w:rPr>
        <w:t>Sector themes and technology’s influence</w:t>
      </w:r>
    </w:p>
    <w:p w14:paraId="7095C0B9" w14:textId="77777777" w:rsidR="001B16DE" w:rsidRPr="001B16DE" w:rsidRDefault="001B16DE" w:rsidP="001B16DE">
      <w:pPr>
        <w:spacing w:line="240" w:lineRule="auto"/>
        <w:jc w:val="both"/>
        <w:rPr>
          <w:rFonts w:ascii="Tahoma" w:hAnsi="Tahoma" w:cs="Tahoma"/>
          <w:lang w:val="en-GB"/>
        </w:rPr>
      </w:pPr>
      <w:r w:rsidRPr="001B16DE">
        <w:rPr>
          <w:rFonts w:ascii="Tahoma" w:hAnsi="Tahoma" w:cs="Tahoma"/>
          <w:lang w:val="en-GB"/>
        </w:rPr>
        <w:t>Across the midmarket, technology plays a dual role. On one hand, firms with advanced technological assets — particularly those in SaaS, cybersecurity, or AI-related fields — command premium valuations. On the other hand, traditional industries are integrating technology via M&amp;A to accelerate transformation and efficiency.</w:t>
      </w:r>
    </w:p>
    <w:p w14:paraId="3C0F6F5F" w14:textId="77777777" w:rsidR="001B16DE" w:rsidRPr="001B16DE" w:rsidRDefault="001B16DE" w:rsidP="001B16DE">
      <w:pPr>
        <w:spacing w:line="240" w:lineRule="auto"/>
        <w:jc w:val="both"/>
        <w:rPr>
          <w:rFonts w:ascii="Tahoma" w:hAnsi="Tahoma" w:cs="Tahoma"/>
          <w:lang w:val="en-GB"/>
        </w:rPr>
      </w:pPr>
      <w:r w:rsidRPr="001B16DE">
        <w:rPr>
          <w:rFonts w:ascii="Tahoma" w:hAnsi="Tahoma" w:cs="Tahoma"/>
          <w:lang w:val="en-GB"/>
        </w:rPr>
        <w:t xml:space="preserve">This mirrors a broader trend: digital acceleration and AI integration are not only reshaping corporate strategies but also influencing which companies become attractive acquisition targets. </w:t>
      </w:r>
    </w:p>
    <w:p w14:paraId="37305439" w14:textId="77777777" w:rsidR="001B16DE" w:rsidRPr="001B16DE" w:rsidRDefault="001B16DE" w:rsidP="001B16DE">
      <w:pPr>
        <w:spacing w:line="240" w:lineRule="auto"/>
        <w:jc w:val="both"/>
        <w:rPr>
          <w:rFonts w:ascii="Tahoma" w:hAnsi="Tahoma" w:cs="Tahoma"/>
          <w:b/>
          <w:bCs/>
          <w:lang w:val="en-GB"/>
        </w:rPr>
      </w:pPr>
      <w:r w:rsidRPr="001B16DE">
        <w:rPr>
          <w:rFonts w:ascii="Tahoma" w:hAnsi="Tahoma" w:cs="Tahoma"/>
          <w:b/>
          <w:bCs/>
          <w:lang w:val="en-GB"/>
        </w:rPr>
        <w:t>Cross-border and strategic expansion</w:t>
      </w:r>
    </w:p>
    <w:p w14:paraId="541BD7D6" w14:textId="77777777" w:rsidR="001B16DE" w:rsidRPr="001B16DE" w:rsidRDefault="001B16DE" w:rsidP="001B16DE">
      <w:pPr>
        <w:spacing w:line="240" w:lineRule="auto"/>
        <w:jc w:val="both"/>
        <w:rPr>
          <w:rFonts w:ascii="Tahoma" w:hAnsi="Tahoma" w:cs="Tahoma"/>
          <w:lang w:val="en-GB"/>
        </w:rPr>
      </w:pPr>
      <w:r w:rsidRPr="001B16DE">
        <w:rPr>
          <w:rFonts w:ascii="Tahoma" w:hAnsi="Tahoma" w:cs="Tahoma"/>
          <w:lang w:val="en-GB"/>
        </w:rPr>
        <w:t xml:space="preserve">Although U.S. midmarket dealmaking is primarily domestic, cross-border M&amp;A remains a meaningful and growing force globally, with a significant share of mid-market transactions involving international parties. </w:t>
      </w:r>
    </w:p>
    <w:p w14:paraId="2450491F" w14:textId="77777777" w:rsidR="001B16DE" w:rsidRPr="001B16DE" w:rsidRDefault="001B16DE" w:rsidP="001B16DE">
      <w:pPr>
        <w:spacing w:line="240" w:lineRule="auto"/>
        <w:jc w:val="both"/>
        <w:rPr>
          <w:rFonts w:ascii="Tahoma" w:hAnsi="Tahoma" w:cs="Tahoma"/>
          <w:lang w:val="en-GB"/>
        </w:rPr>
      </w:pPr>
      <w:r w:rsidRPr="001B16DE">
        <w:rPr>
          <w:rFonts w:ascii="Tahoma" w:hAnsi="Tahoma" w:cs="Tahoma"/>
          <w:lang w:val="en-GB"/>
        </w:rPr>
        <w:t>For U.S. sellers, tapping into international buyers can open pathways to new markets, complementary technologies, and diversified shareholder bases — all of which enhance exit outcomes in a competitive selling environment.</w:t>
      </w:r>
    </w:p>
    <w:p w14:paraId="3711E1B6" w14:textId="77777777" w:rsidR="001B16DE" w:rsidRPr="001B16DE" w:rsidRDefault="001B16DE" w:rsidP="001B16DE">
      <w:pPr>
        <w:spacing w:line="240" w:lineRule="auto"/>
        <w:jc w:val="both"/>
        <w:rPr>
          <w:rFonts w:ascii="Tahoma" w:hAnsi="Tahoma" w:cs="Tahoma"/>
          <w:b/>
          <w:bCs/>
          <w:lang w:val="en-GB"/>
        </w:rPr>
      </w:pPr>
      <w:r w:rsidRPr="001B16DE">
        <w:rPr>
          <w:rFonts w:ascii="Tahoma" w:hAnsi="Tahoma" w:cs="Tahoma"/>
          <w:b/>
          <w:bCs/>
          <w:lang w:val="en-GB"/>
        </w:rPr>
        <w:t>Selectivity, value creation, and a dynamic middle market</w:t>
      </w:r>
    </w:p>
    <w:p w14:paraId="440CC67A" w14:textId="77777777" w:rsidR="001B16DE" w:rsidRPr="001B16DE" w:rsidRDefault="001B16DE" w:rsidP="001B16DE">
      <w:pPr>
        <w:spacing w:line="240" w:lineRule="auto"/>
        <w:jc w:val="both"/>
        <w:rPr>
          <w:rFonts w:ascii="Tahoma" w:hAnsi="Tahoma" w:cs="Tahoma"/>
          <w:lang w:val="en-GB"/>
        </w:rPr>
      </w:pPr>
      <w:r w:rsidRPr="001B16DE">
        <w:rPr>
          <w:rFonts w:ascii="Tahoma" w:hAnsi="Tahoma" w:cs="Tahoma"/>
          <w:lang w:val="en-GB"/>
        </w:rPr>
        <w:t>Looking ahead into 2026, most analysts foresee continued midmarket M&amp;A activity, driven by demographic shifts, strategic consolidation, and the broader economic imperative for growth and transformation. Dealmakers who succeed will be those who understand sector-specific dynamics, valuation drivers, and the nuanced priorities of privately owned business sellers.</w:t>
      </w:r>
    </w:p>
    <w:p w14:paraId="39271B79" w14:textId="77777777" w:rsidR="001B16DE" w:rsidRPr="001B16DE" w:rsidRDefault="001B16DE" w:rsidP="001B16DE">
      <w:pPr>
        <w:spacing w:line="240" w:lineRule="auto"/>
        <w:jc w:val="both"/>
        <w:rPr>
          <w:rFonts w:ascii="Tahoma" w:hAnsi="Tahoma" w:cs="Tahoma"/>
          <w:lang w:val="en-GB"/>
        </w:rPr>
      </w:pPr>
      <w:r w:rsidRPr="001B16DE">
        <w:rPr>
          <w:rFonts w:ascii="Tahoma" w:hAnsi="Tahoma" w:cs="Tahoma"/>
          <w:lang w:val="en-GB"/>
        </w:rPr>
        <w:t>While headline figures can mask the nuanced reality of midmarket M&amp;A, the underlying narrative is clear: the middle market remains a fertile ground for strategic transactions — albeit one where careful execution, alignment of interests, and deep industry insight are indispensable to unlocking value.</w:t>
      </w:r>
    </w:p>
    <w:p w14:paraId="084C1591" w14:textId="77777777" w:rsidR="001B16DE" w:rsidRPr="001B16DE" w:rsidRDefault="001B16DE" w:rsidP="001B16DE">
      <w:pPr>
        <w:spacing w:line="240" w:lineRule="auto"/>
        <w:jc w:val="both"/>
        <w:rPr>
          <w:rFonts w:ascii="Tahoma" w:hAnsi="Tahoma" w:cs="Tahoma"/>
          <w:lang w:val="en-GB"/>
        </w:rPr>
      </w:pPr>
    </w:p>
    <w:p w14:paraId="765C43F3" w14:textId="621E9759" w:rsidR="001B16DE" w:rsidRPr="001B16DE" w:rsidRDefault="001B16DE" w:rsidP="001B16DE">
      <w:pPr>
        <w:spacing w:after="0" w:line="240" w:lineRule="auto"/>
        <w:jc w:val="both"/>
        <w:rPr>
          <w:rFonts w:ascii="Tahoma" w:hAnsi="Tahoma" w:cs="Tahoma"/>
          <w:b/>
          <w:bCs/>
          <w:lang w:val="en-GB"/>
        </w:rPr>
      </w:pPr>
      <w:r w:rsidRPr="001B16DE">
        <w:rPr>
          <w:rFonts w:ascii="Tahoma" w:hAnsi="Tahoma" w:cs="Tahoma"/>
          <w:b/>
          <w:bCs/>
          <w:lang w:val="en-GB"/>
        </w:rPr>
        <w:t xml:space="preserve">The U.S. SME </w:t>
      </w:r>
      <w:r w:rsidRPr="001B16DE">
        <w:rPr>
          <w:rFonts w:ascii="Tahoma" w:hAnsi="Tahoma" w:cs="Tahoma"/>
          <w:b/>
          <w:bCs/>
          <w:lang w:val="en-GB"/>
        </w:rPr>
        <w:t>M</w:t>
      </w:r>
      <w:r w:rsidRPr="001B16DE">
        <w:rPr>
          <w:rFonts w:ascii="Tahoma" w:hAnsi="Tahoma" w:cs="Tahoma"/>
          <w:b/>
          <w:bCs/>
          <w:lang w:val="en-GB"/>
        </w:rPr>
        <w:t>arket</w:t>
      </w:r>
      <w:r w:rsidRPr="001B16DE">
        <w:rPr>
          <w:rFonts w:ascii="Tahoma" w:hAnsi="Tahoma" w:cs="Tahoma"/>
          <w:b/>
          <w:bCs/>
          <w:lang w:val="en-GB"/>
        </w:rPr>
        <w:t xml:space="preserve">: </w:t>
      </w:r>
    </w:p>
    <w:p w14:paraId="5B3807F6" w14:textId="4CA7C2D4" w:rsidR="001B16DE" w:rsidRPr="001B16DE" w:rsidRDefault="001B16DE" w:rsidP="001B16DE">
      <w:pPr>
        <w:spacing w:after="0" w:line="240" w:lineRule="auto"/>
        <w:jc w:val="both"/>
        <w:rPr>
          <w:rFonts w:ascii="Tahoma" w:hAnsi="Tahoma" w:cs="Tahoma"/>
          <w:b/>
          <w:bCs/>
          <w:lang w:val="en-GB"/>
        </w:rPr>
      </w:pPr>
      <w:r w:rsidRPr="001B16DE">
        <w:rPr>
          <w:rFonts w:ascii="Tahoma" w:hAnsi="Tahoma" w:cs="Tahoma"/>
          <w:b/>
          <w:bCs/>
          <w:lang w:val="en-GB"/>
        </w:rPr>
        <w:t>Growth, structural shifts, and transactions</w:t>
      </w:r>
    </w:p>
    <w:p w14:paraId="0F965DB5" w14:textId="77777777" w:rsidR="001B16DE" w:rsidRPr="001B16DE" w:rsidRDefault="001B16DE" w:rsidP="001B16DE">
      <w:pPr>
        <w:spacing w:line="240" w:lineRule="auto"/>
        <w:jc w:val="both"/>
        <w:rPr>
          <w:rFonts w:ascii="Tahoma" w:hAnsi="Tahoma" w:cs="Tahoma"/>
          <w:b/>
          <w:bCs/>
          <w:lang w:val="en-GB"/>
        </w:rPr>
      </w:pPr>
    </w:p>
    <w:p w14:paraId="1695AD77" w14:textId="77777777" w:rsidR="001B16DE" w:rsidRPr="001B16DE" w:rsidRDefault="001B16DE" w:rsidP="001B16DE">
      <w:pPr>
        <w:spacing w:line="240" w:lineRule="auto"/>
        <w:jc w:val="both"/>
        <w:rPr>
          <w:rFonts w:ascii="Tahoma" w:hAnsi="Tahoma" w:cs="Tahoma"/>
          <w:b/>
          <w:bCs/>
          <w:lang w:val="en-GB"/>
        </w:rPr>
      </w:pPr>
      <w:r w:rsidRPr="001B16DE">
        <w:rPr>
          <w:rFonts w:ascii="Tahoma" w:hAnsi="Tahoma" w:cs="Tahoma"/>
          <w:b/>
          <w:bCs/>
          <w:lang w:val="en-GB"/>
        </w:rPr>
        <w:t>SMEs remain a backbone of the U.S. economy</w:t>
      </w:r>
    </w:p>
    <w:p w14:paraId="072C775D" w14:textId="77777777" w:rsidR="001B16DE" w:rsidRPr="001B16DE" w:rsidRDefault="001B16DE" w:rsidP="001B16DE">
      <w:pPr>
        <w:spacing w:line="240" w:lineRule="auto"/>
        <w:jc w:val="both"/>
        <w:rPr>
          <w:rFonts w:ascii="Tahoma" w:hAnsi="Tahoma" w:cs="Tahoma"/>
          <w:lang w:val="en-GB"/>
        </w:rPr>
      </w:pPr>
      <w:r w:rsidRPr="001B16DE">
        <w:rPr>
          <w:rFonts w:ascii="Tahoma" w:hAnsi="Tahoma" w:cs="Tahoma"/>
          <w:lang w:val="en-GB"/>
        </w:rPr>
        <w:t xml:space="preserve">Small and medium-sized enterprises account for a huge share of U.S. businesses and employment. These companies are increasingly active in strategic exits, consolidations, and ownership transfers as demographic and economic forces unfold. Aging owners are a central factor — with a wave of Baby Boomers seeking succession paths, more SMEs are preparing for sale or seeking external capital. </w:t>
      </w:r>
    </w:p>
    <w:p w14:paraId="4FEBE90D" w14:textId="77777777" w:rsidR="001B16DE" w:rsidRPr="001B16DE" w:rsidRDefault="001B16DE" w:rsidP="001B16DE">
      <w:pPr>
        <w:spacing w:line="240" w:lineRule="auto"/>
        <w:jc w:val="both"/>
        <w:rPr>
          <w:rFonts w:ascii="Tahoma" w:hAnsi="Tahoma" w:cs="Tahoma"/>
          <w:b/>
          <w:bCs/>
          <w:lang w:val="en-GB"/>
        </w:rPr>
      </w:pPr>
      <w:r w:rsidRPr="001B16DE">
        <w:rPr>
          <w:rFonts w:ascii="Tahoma" w:hAnsi="Tahoma" w:cs="Tahoma"/>
          <w:b/>
          <w:bCs/>
          <w:lang w:val="en-GB"/>
        </w:rPr>
        <w:t>Growth despite macro uncertainty</w:t>
      </w:r>
    </w:p>
    <w:p w14:paraId="28586F64" w14:textId="77777777" w:rsidR="001B16DE" w:rsidRPr="001B16DE" w:rsidRDefault="001B16DE" w:rsidP="001B16DE">
      <w:pPr>
        <w:spacing w:line="240" w:lineRule="auto"/>
        <w:jc w:val="both"/>
        <w:rPr>
          <w:rFonts w:ascii="Tahoma" w:hAnsi="Tahoma" w:cs="Tahoma"/>
          <w:lang w:val="en-GB"/>
        </w:rPr>
      </w:pPr>
      <w:r w:rsidRPr="001B16DE">
        <w:rPr>
          <w:rFonts w:ascii="Tahoma" w:hAnsi="Tahoma" w:cs="Tahoma"/>
          <w:lang w:val="en-GB"/>
        </w:rPr>
        <w:t xml:space="preserve">While broader economic headwinds (interest rates, uneven growth, tariff uncertainty) have dulled some midmarket M&amp;A, smaller business activity persists. Many SME owners are focused on operational resilience and exit preparation, while buyers — including strategic acquirers, search funds, and private investors — continue seeking scalable assets. </w:t>
      </w:r>
    </w:p>
    <w:p w14:paraId="63B616BC" w14:textId="77777777" w:rsidR="001B16DE" w:rsidRPr="001B16DE" w:rsidRDefault="001B16DE" w:rsidP="001B16DE">
      <w:pPr>
        <w:spacing w:line="240" w:lineRule="auto"/>
        <w:jc w:val="both"/>
        <w:rPr>
          <w:rFonts w:ascii="Tahoma" w:hAnsi="Tahoma" w:cs="Tahoma"/>
          <w:b/>
          <w:bCs/>
          <w:lang w:val="en-GB"/>
        </w:rPr>
      </w:pPr>
      <w:r w:rsidRPr="001B16DE">
        <w:rPr>
          <w:rFonts w:ascii="Tahoma" w:hAnsi="Tahoma" w:cs="Tahoma"/>
          <w:b/>
          <w:bCs/>
          <w:lang w:val="en-GB"/>
        </w:rPr>
        <w:t>Technology and competitiveness</w:t>
      </w:r>
    </w:p>
    <w:p w14:paraId="60018F8F" w14:textId="47BDCBB0" w:rsidR="001B16DE" w:rsidRPr="001B16DE" w:rsidRDefault="001B16DE" w:rsidP="001B16DE">
      <w:pPr>
        <w:spacing w:line="240" w:lineRule="auto"/>
        <w:jc w:val="both"/>
        <w:rPr>
          <w:rFonts w:ascii="Tahoma" w:hAnsi="Tahoma" w:cs="Tahoma"/>
          <w:lang w:val="en-GB"/>
        </w:rPr>
      </w:pPr>
      <w:r w:rsidRPr="001B16DE">
        <w:rPr>
          <w:rFonts w:ascii="Tahoma" w:hAnsi="Tahoma" w:cs="Tahoma"/>
          <w:lang w:val="en-GB"/>
        </w:rPr>
        <w:t xml:space="preserve">Digital tools — from AI to advanced analytics — are increasingly adopted by SMEs to enhance competitiveness, improve productivity, and position for future transactions. These capabilities can boost valuations and make businesses more attractive to buyers but also raise the bar for brokers in terms of services and expectations. </w:t>
      </w:r>
    </w:p>
    <w:p w14:paraId="36ED4308" w14:textId="77777777" w:rsidR="001B16DE" w:rsidRPr="001B16DE" w:rsidRDefault="001B16DE" w:rsidP="001B16DE">
      <w:pPr>
        <w:spacing w:line="240" w:lineRule="auto"/>
        <w:jc w:val="both"/>
        <w:rPr>
          <w:rFonts w:ascii="Tahoma" w:hAnsi="Tahoma" w:cs="Tahoma"/>
          <w:b/>
          <w:bCs/>
          <w:lang w:val="en-GB"/>
        </w:rPr>
      </w:pPr>
      <w:r w:rsidRPr="001B16DE">
        <w:rPr>
          <w:rFonts w:ascii="Tahoma" w:hAnsi="Tahoma" w:cs="Tahoma"/>
          <w:b/>
          <w:bCs/>
          <w:lang w:val="en-GB"/>
        </w:rPr>
        <w:t>SME financing and services ecosystem expanding</w:t>
      </w:r>
    </w:p>
    <w:p w14:paraId="4957322F" w14:textId="77777777" w:rsidR="001B16DE" w:rsidRDefault="001B16DE" w:rsidP="001B16DE">
      <w:pPr>
        <w:spacing w:line="240" w:lineRule="auto"/>
        <w:jc w:val="both"/>
        <w:rPr>
          <w:rFonts w:ascii="Tahoma" w:hAnsi="Tahoma" w:cs="Tahoma"/>
          <w:lang w:val="en-GB"/>
        </w:rPr>
      </w:pPr>
      <w:r w:rsidRPr="001B16DE">
        <w:rPr>
          <w:rFonts w:ascii="Tahoma" w:hAnsi="Tahoma" w:cs="Tahoma"/>
          <w:lang w:val="en-GB"/>
        </w:rPr>
        <w:t>Supporting markets like SME insurance and financing solutions are growing alongside the SME population. These services — often delivered through brokers and advisors — help SMEs manage risk and present stronger, more bankable profiles for transactions.</w:t>
      </w:r>
    </w:p>
    <w:p w14:paraId="783B3FE3" w14:textId="77777777" w:rsidR="001B16DE" w:rsidRDefault="001B16DE" w:rsidP="001B16DE">
      <w:pPr>
        <w:rPr>
          <w:rFonts w:ascii="Tahoma" w:hAnsi="Tahoma" w:cs="Tahoma"/>
          <w:i/>
          <w:iCs/>
          <w:lang w:val="pt-PT"/>
        </w:rPr>
      </w:pPr>
      <w:r>
        <w:rPr>
          <w:rFonts w:ascii="Tahoma" w:hAnsi="Tahoma" w:cs="Tahoma"/>
          <w:noProof/>
          <w:sz w:val="28"/>
          <w:szCs w:val="28"/>
        </w:rPr>
        <w:drawing>
          <wp:anchor distT="0" distB="0" distL="114300" distR="114300" simplePos="0" relativeHeight="251659264" behindDoc="0" locked="0" layoutInCell="1" allowOverlap="1" wp14:anchorId="0417EA9B" wp14:editId="228DC917">
            <wp:simplePos x="0" y="0"/>
            <wp:positionH relativeFrom="column">
              <wp:posOffset>0</wp:posOffset>
            </wp:positionH>
            <wp:positionV relativeFrom="paragraph">
              <wp:posOffset>93345</wp:posOffset>
            </wp:positionV>
            <wp:extent cx="1143000" cy="1134745"/>
            <wp:effectExtent l="0" t="0" r="0" b="8255"/>
            <wp:wrapSquare wrapText="bothSides"/>
            <wp:docPr id="1307200536" name="Picture 2"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00536" name="Picture 2" descr="A person in a suit and ti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43000" cy="1134745"/>
                    </a:xfrm>
                    <a:prstGeom prst="rect">
                      <a:avLst/>
                    </a:prstGeom>
                  </pic:spPr>
                </pic:pic>
              </a:graphicData>
            </a:graphic>
            <wp14:sizeRelH relativeFrom="margin">
              <wp14:pctWidth>0</wp14:pctWidth>
            </wp14:sizeRelH>
            <wp14:sizeRelV relativeFrom="margin">
              <wp14:pctHeight>0</wp14:pctHeight>
            </wp14:sizeRelV>
          </wp:anchor>
        </w:drawing>
      </w:r>
    </w:p>
    <w:p w14:paraId="49A9ADBD" w14:textId="63060002" w:rsidR="001B16DE" w:rsidRPr="00B55734" w:rsidRDefault="001B16DE" w:rsidP="001B16DE">
      <w:pPr>
        <w:spacing w:after="0" w:line="240" w:lineRule="auto"/>
        <w:rPr>
          <w:rFonts w:ascii="Tahoma" w:hAnsi="Tahoma" w:cs="Tahoma"/>
          <w:i/>
          <w:iCs/>
          <w:sz w:val="22"/>
          <w:szCs w:val="22"/>
          <w:lang w:val="pt-PT"/>
        </w:rPr>
      </w:pPr>
      <w:r w:rsidRPr="00B55734">
        <w:rPr>
          <w:rFonts w:ascii="Tahoma" w:hAnsi="Tahoma" w:cs="Tahoma"/>
          <w:i/>
          <w:iCs/>
          <w:sz w:val="22"/>
          <w:szCs w:val="22"/>
          <w:lang w:val="pt-PT"/>
        </w:rPr>
        <w:t>Gundo Kahle, CEO</w:t>
      </w:r>
    </w:p>
    <w:p w14:paraId="0D7B1889" w14:textId="77777777" w:rsidR="001B16DE" w:rsidRPr="00B55734" w:rsidRDefault="001B16DE" w:rsidP="001B16DE">
      <w:pPr>
        <w:spacing w:after="0" w:line="240" w:lineRule="auto"/>
        <w:rPr>
          <w:rFonts w:ascii="Tahoma" w:hAnsi="Tahoma" w:cs="Tahoma"/>
          <w:i/>
          <w:iCs/>
          <w:sz w:val="22"/>
          <w:szCs w:val="22"/>
          <w:lang w:val="pt-PT"/>
        </w:rPr>
      </w:pPr>
      <w:r w:rsidRPr="00B55734">
        <w:rPr>
          <w:rFonts w:ascii="Tahoma" w:hAnsi="Tahoma" w:cs="Tahoma"/>
          <w:i/>
          <w:iCs/>
          <w:sz w:val="22"/>
          <w:szCs w:val="22"/>
          <w:lang w:val="pt-PT"/>
        </w:rPr>
        <w:t>CBA Cross Border Associates</w:t>
      </w:r>
    </w:p>
    <w:p w14:paraId="4668F053" w14:textId="77777777" w:rsidR="001B16DE" w:rsidRPr="001B16DE" w:rsidRDefault="001B16DE" w:rsidP="001B16DE">
      <w:pPr>
        <w:jc w:val="both"/>
        <w:rPr>
          <w:rFonts w:ascii="Tahoma" w:hAnsi="Tahoma" w:cs="Tahoma"/>
          <w:color w:val="000000" w:themeColor="text1"/>
          <w:sz w:val="28"/>
          <w:szCs w:val="28"/>
          <w:lang w:val="pt-PT"/>
        </w:rPr>
      </w:pPr>
    </w:p>
    <w:p w14:paraId="75AC042E" w14:textId="42D86E9A" w:rsidR="008C23B7" w:rsidRPr="001B16DE" w:rsidRDefault="008C23B7" w:rsidP="001B16DE">
      <w:pPr>
        <w:spacing w:line="240" w:lineRule="auto"/>
        <w:jc w:val="both"/>
        <w:rPr>
          <w:rFonts w:ascii="Tahoma" w:hAnsi="Tahoma" w:cs="Tahoma"/>
          <w:lang w:val="pt-PT"/>
        </w:rPr>
      </w:pPr>
    </w:p>
    <w:sectPr w:rsidR="008C23B7" w:rsidRPr="001B16DE" w:rsidSect="00EC3BF0">
      <w:pgSz w:w="12240" w:h="15840"/>
      <w:pgMar w:top="360" w:right="720" w:bottom="144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64AB0"/>
    <w:multiLevelType w:val="multilevel"/>
    <w:tmpl w:val="32E28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3788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3B7"/>
    <w:rsid w:val="001B16DE"/>
    <w:rsid w:val="003C5696"/>
    <w:rsid w:val="004E219A"/>
    <w:rsid w:val="00781BED"/>
    <w:rsid w:val="00787DB5"/>
    <w:rsid w:val="008C23B7"/>
    <w:rsid w:val="00A32F1B"/>
    <w:rsid w:val="00B55734"/>
    <w:rsid w:val="00BD7593"/>
    <w:rsid w:val="00DA0FDC"/>
    <w:rsid w:val="00EC3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A2B80"/>
  <w15:chartTrackingRefBased/>
  <w15:docId w15:val="{4F582245-C837-4FAC-B720-44B1F7341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BF0"/>
  </w:style>
  <w:style w:type="paragraph" w:styleId="Heading1">
    <w:name w:val="heading 1"/>
    <w:basedOn w:val="Normal"/>
    <w:next w:val="Normal"/>
    <w:link w:val="Heading1Char"/>
    <w:uiPriority w:val="9"/>
    <w:qFormat/>
    <w:rsid w:val="008C23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23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23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23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23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23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23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23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23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3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C23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23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23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23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23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3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3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3B7"/>
    <w:rPr>
      <w:rFonts w:eastAsiaTheme="majorEastAsia" w:cstheme="majorBidi"/>
      <w:color w:val="272727" w:themeColor="text1" w:themeTint="D8"/>
    </w:rPr>
  </w:style>
  <w:style w:type="paragraph" w:styleId="Title">
    <w:name w:val="Title"/>
    <w:basedOn w:val="Normal"/>
    <w:next w:val="Normal"/>
    <w:link w:val="TitleChar"/>
    <w:uiPriority w:val="10"/>
    <w:qFormat/>
    <w:rsid w:val="008C23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3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3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3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3B7"/>
    <w:pPr>
      <w:spacing w:before="160"/>
      <w:jc w:val="center"/>
    </w:pPr>
    <w:rPr>
      <w:i/>
      <w:iCs/>
      <w:color w:val="404040" w:themeColor="text1" w:themeTint="BF"/>
    </w:rPr>
  </w:style>
  <w:style w:type="character" w:customStyle="1" w:styleId="QuoteChar">
    <w:name w:val="Quote Char"/>
    <w:basedOn w:val="DefaultParagraphFont"/>
    <w:link w:val="Quote"/>
    <w:uiPriority w:val="29"/>
    <w:rsid w:val="008C23B7"/>
    <w:rPr>
      <w:i/>
      <w:iCs/>
      <w:color w:val="404040" w:themeColor="text1" w:themeTint="BF"/>
    </w:rPr>
  </w:style>
  <w:style w:type="paragraph" w:styleId="ListParagraph">
    <w:name w:val="List Paragraph"/>
    <w:basedOn w:val="Normal"/>
    <w:uiPriority w:val="34"/>
    <w:qFormat/>
    <w:rsid w:val="008C23B7"/>
    <w:pPr>
      <w:ind w:left="720"/>
      <w:contextualSpacing/>
    </w:pPr>
  </w:style>
  <w:style w:type="character" w:styleId="IntenseEmphasis">
    <w:name w:val="Intense Emphasis"/>
    <w:basedOn w:val="DefaultParagraphFont"/>
    <w:uiPriority w:val="21"/>
    <w:qFormat/>
    <w:rsid w:val="008C23B7"/>
    <w:rPr>
      <w:i/>
      <w:iCs/>
      <w:color w:val="0F4761" w:themeColor="accent1" w:themeShade="BF"/>
    </w:rPr>
  </w:style>
  <w:style w:type="paragraph" w:styleId="IntenseQuote">
    <w:name w:val="Intense Quote"/>
    <w:basedOn w:val="Normal"/>
    <w:next w:val="Normal"/>
    <w:link w:val="IntenseQuoteChar"/>
    <w:uiPriority w:val="30"/>
    <w:qFormat/>
    <w:rsid w:val="008C23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23B7"/>
    <w:rPr>
      <w:i/>
      <w:iCs/>
      <w:color w:val="0F4761" w:themeColor="accent1" w:themeShade="BF"/>
    </w:rPr>
  </w:style>
  <w:style w:type="character" w:styleId="IntenseReference">
    <w:name w:val="Intense Reference"/>
    <w:basedOn w:val="DefaultParagraphFont"/>
    <w:uiPriority w:val="32"/>
    <w:qFormat/>
    <w:rsid w:val="008C23B7"/>
    <w:rPr>
      <w:b/>
      <w:bCs/>
      <w:smallCaps/>
      <w:color w:val="0F4761" w:themeColor="accent1" w:themeShade="BF"/>
      <w:spacing w:val="5"/>
    </w:rPr>
  </w:style>
  <w:style w:type="character" w:styleId="Hyperlink">
    <w:name w:val="Hyperlink"/>
    <w:basedOn w:val="DefaultParagraphFont"/>
    <w:uiPriority w:val="99"/>
    <w:unhideWhenUsed/>
    <w:rsid w:val="00EC3BF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FEB2BB56F784CAE424BE07525571D" ma:contentTypeVersion="15" ma:contentTypeDescription="Create a new document." ma:contentTypeScope="" ma:versionID="60ac7c7ced04e559b5b6ce56bd16db9a">
  <xsd:schema xmlns:xsd="http://www.w3.org/2001/XMLSchema" xmlns:xs="http://www.w3.org/2001/XMLSchema" xmlns:p="http://schemas.microsoft.com/office/2006/metadata/properties" xmlns:ns2="da9d3b22-a9e8-4507-974a-2a8c0e45ed91" xmlns:ns3="e30261cf-abf3-484f-a77d-bf591b31264e" targetNamespace="http://schemas.microsoft.com/office/2006/metadata/properties" ma:root="true" ma:fieldsID="d2836370931b116fffdbe670fff585cd" ns2:_="" ns3:_="">
    <xsd:import namespace="da9d3b22-a9e8-4507-974a-2a8c0e45ed91"/>
    <xsd:import namespace="e30261cf-abf3-484f-a77d-bf591b312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d3b22-a9e8-4507-974a-2a8c0e45e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f1a394d-a167-49eb-a3ee-98bd9854635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261cf-abf3-484f-a77d-bf591b3126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9462b3-c47c-4ce1-a690-0d0bac6b1ada}" ma:internalName="TaxCatchAll" ma:showField="CatchAllData" ma:web="e30261cf-abf3-484f-a77d-bf591b31264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9d3b22-a9e8-4507-974a-2a8c0e45ed91">
      <Terms xmlns="http://schemas.microsoft.com/office/infopath/2007/PartnerControls"/>
    </lcf76f155ced4ddcb4097134ff3c332f>
    <TaxCatchAll xmlns="e30261cf-abf3-484f-a77d-bf591b31264e" xsi:nil="true"/>
  </documentManagement>
</p:properties>
</file>

<file path=customXml/itemProps1.xml><?xml version="1.0" encoding="utf-8"?>
<ds:datastoreItem xmlns:ds="http://schemas.openxmlformats.org/officeDocument/2006/customXml" ds:itemID="{4E2AE56A-AEA9-46DF-87B5-D8C0EE82259F}"/>
</file>

<file path=customXml/itemProps2.xml><?xml version="1.0" encoding="utf-8"?>
<ds:datastoreItem xmlns:ds="http://schemas.openxmlformats.org/officeDocument/2006/customXml" ds:itemID="{91934E71-230A-478E-AB3B-E40242CB1DA6}"/>
</file>

<file path=customXml/itemProps3.xml><?xml version="1.0" encoding="utf-8"?>
<ds:datastoreItem xmlns:ds="http://schemas.openxmlformats.org/officeDocument/2006/customXml" ds:itemID="{7E326C50-DF18-4FBE-BA8E-E0643B86AD64}"/>
</file>

<file path=docProps/app.xml><?xml version="1.0" encoding="utf-8"?>
<Properties xmlns="http://schemas.openxmlformats.org/officeDocument/2006/extended-properties" xmlns:vt="http://schemas.openxmlformats.org/officeDocument/2006/docPropsVTypes">
  <Template>Normal</Template>
  <TotalTime>1</TotalTime>
  <Pages>3</Pages>
  <Words>1042</Words>
  <Characters>5943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Gundo Kahle</dc:creator>
  <cp:keywords/>
  <dc:description/>
  <cp:lastModifiedBy>Gundo Kahle</cp:lastModifiedBy>
  <cp:revision>2</cp:revision>
  <cp:lastPrinted>2025-12-29T13:45:00Z</cp:lastPrinted>
  <dcterms:created xsi:type="dcterms:W3CDTF">2026-01-07T17:40:00Z</dcterms:created>
  <dcterms:modified xsi:type="dcterms:W3CDTF">2026-01-07T17:40:00Z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0x0101003E0FEB2BB56F784CAE424BE07525571D</vt:lpwstr>
  </property>
</Properties>
</file>