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50E3" w14:textId="77777777" w:rsidR="00EF4A04" w:rsidRDefault="00EF4A04" w:rsidP="00EF4A04">
      <w:pPr>
        <w:spacing w:after="0"/>
        <w:rPr>
          <w:sz w:val="36"/>
          <w:szCs w:val="36"/>
        </w:rPr>
      </w:pPr>
      <w:r>
        <w:rPr>
          <w:b/>
          <w:bCs/>
          <w:noProof/>
        </w:rPr>
        <w:drawing>
          <wp:inline distT="0" distB="0" distL="0" distR="0" wp14:anchorId="459A48AD" wp14:editId="17F04E3D">
            <wp:extent cx="6849776" cy="1142339"/>
            <wp:effectExtent l="0" t="0" r="0" b="1270"/>
            <wp:docPr id="1360461687" name="Picture 1" descr="A close up of a blu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61687" name="Picture 1" descr="A close up of a blue surfac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033534" cy="1172984"/>
                    </a:xfrm>
                    <a:prstGeom prst="rect">
                      <a:avLst/>
                    </a:prstGeom>
                  </pic:spPr>
                </pic:pic>
              </a:graphicData>
            </a:graphic>
          </wp:inline>
        </w:drawing>
      </w:r>
    </w:p>
    <w:p w14:paraId="796BC761" w14:textId="77777777" w:rsidR="00EF4A04" w:rsidRPr="00184B1E" w:rsidRDefault="00EF4A04" w:rsidP="00EF4A04">
      <w:pPr>
        <w:spacing w:after="0"/>
        <w:rPr>
          <w:sz w:val="14"/>
          <w:szCs w:val="14"/>
        </w:rPr>
      </w:pPr>
    </w:p>
    <w:p w14:paraId="49ED3538" w14:textId="49310A7A" w:rsidR="00EF4A04" w:rsidRDefault="00EF4A04" w:rsidP="00EF4A04">
      <w:pPr>
        <w:spacing w:after="0"/>
        <w:rPr>
          <w:sz w:val="56"/>
          <w:szCs w:val="56"/>
        </w:rPr>
      </w:pPr>
      <w:r w:rsidRPr="00EF4A04">
        <w:rPr>
          <w:sz w:val="36"/>
          <w:szCs w:val="36"/>
        </w:rPr>
        <w:t>Cross-Border M&amp;A:</w:t>
      </w:r>
      <w:r w:rsidRPr="00EF4A04">
        <w:rPr>
          <w:sz w:val="56"/>
          <w:szCs w:val="56"/>
        </w:rPr>
        <w:t xml:space="preserve"> </w:t>
      </w:r>
    </w:p>
    <w:p w14:paraId="5CCBEEC1" w14:textId="5D44E90A" w:rsidR="00EF4A04" w:rsidRPr="00EF4A04" w:rsidRDefault="00EF4A04" w:rsidP="00EF4A04">
      <w:pPr>
        <w:rPr>
          <w:rFonts w:ascii="Tahoma" w:hAnsi="Tahoma" w:cs="Tahoma"/>
          <w:sz w:val="48"/>
          <w:szCs w:val="48"/>
        </w:rPr>
      </w:pPr>
      <w:r w:rsidRPr="00EF4A04">
        <w:rPr>
          <w:rFonts w:ascii="Tahoma" w:hAnsi="Tahoma" w:cs="Tahoma"/>
          <w:sz w:val="48"/>
          <w:szCs w:val="48"/>
        </w:rPr>
        <w:t xml:space="preserve">Cross-Border M&amp;A is Becoming More Demanding, More Regulated, and More Interconnected </w:t>
      </w:r>
    </w:p>
    <w:p w14:paraId="4184AC4E" w14:textId="6D6BD4B4" w:rsidR="00EF4A04" w:rsidRPr="00EF4A04" w:rsidRDefault="00EF4A04" w:rsidP="00EF4A04">
      <w:pPr>
        <w:jc w:val="both"/>
        <w:rPr>
          <w:rFonts w:ascii="Tahoma" w:hAnsi="Tahoma" w:cs="Tahoma"/>
          <w:sz w:val="28"/>
          <w:szCs w:val="28"/>
        </w:rPr>
      </w:pPr>
      <w:r w:rsidRPr="00EF4A04">
        <w:rPr>
          <w:rFonts w:ascii="Tahoma" w:hAnsi="Tahoma" w:cs="Tahoma"/>
          <w:sz w:val="28"/>
          <w:szCs w:val="28"/>
        </w:rPr>
        <w:t xml:space="preserve">As global markets stabilize after a period of economic uncertainty, cross-border mergers and acquisitions continue to play a central strategic role for companies seeking growth, diversification, and operational resilience. Although deal activity is recovering, the environment in which these transactions take place has become significantly more complex than just a few years ago. This </w:t>
      </w:r>
      <w:r>
        <w:rPr>
          <w:rFonts w:ascii="Tahoma" w:hAnsi="Tahoma" w:cs="Tahoma"/>
          <w:sz w:val="28"/>
          <w:szCs w:val="28"/>
        </w:rPr>
        <w:t xml:space="preserve">article </w:t>
      </w:r>
      <w:r w:rsidRPr="00EF4A04">
        <w:rPr>
          <w:rFonts w:ascii="Tahoma" w:hAnsi="Tahoma" w:cs="Tahoma"/>
          <w:sz w:val="28"/>
          <w:szCs w:val="28"/>
        </w:rPr>
        <w:t>highlights the most pressing issues shaping cross-border M&amp;A today—and what dealmakers should be preparing for in 202</w:t>
      </w:r>
      <w:r>
        <w:rPr>
          <w:rFonts w:ascii="Tahoma" w:hAnsi="Tahoma" w:cs="Tahoma"/>
          <w:sz w:val="28"/>
          <w:szCs w:val="28"/>
        </w:rPr>
        <w:t>6</w:t>
      </w:r>
      <w:r w:rsidRPr="00EF4A04">
        <w:rPr>
          <w:rFonts w:ascii="Tahoma" w:hAnsi="Tahoma" w:cs="Tahoma"/>
          <w:sz w:val="28"/>
          <w:szCs w:val="28"/>
        </w:rPr>
        <w:t>.</w:t>
      </w:r>
    </w:p>
    <w:p w14:paraId="4E78AB57" w14:textId="77777777" w:rsidR="00EF4A04" w:rsidRPr="00EF4A04" w:rsidRDefault="00EF4A04" w:rsidP="00EF4A04">
      <w:pPr>
        <w:rPr>
          <w:rFonts w:ascii="Tahoma" w:hAnsi="Tahoma" w:cs="Tahoma"/>
          <w:b/>
          <w:bCs/>
          <w:sz w:val="28"/>
          <w:szCs w:val="28"/>
        </w:rPr>
      </w:pPr>
      <w:r w:rsidRPr="00EF4A04">
        <w:rPr>
          <w:rFonts w:ascii="Tahoma" w:hAnsi="Tahoma" w:cs="Tahoma"/>
          <w:b/>
          <w:bCs/>
          <w:sz w:val="28"/>
          <w:szCs w:val="28"/>
        </w:rPr>
        <w:t>Increasing Regulatory Requirements</w:t>
      </w:r>
    </w:p>
    <w:p w14:paraId="06520479"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The global landscape of investment regulation has changed drastically. Governments are placing greater emphasis on national security, technological sovereignty, and strategic resilience. Review mechanisms in the EU, the United Kingdom, the United States, and Asia have expanded, and review timelines are lengthening.</w:t>
      </w:r>
    </w:p>
    <w:p w14:paraId="13823D99" w14:textId="77777777" w:rsidR="00EF4A04" w:rsidRPr="00EF4A04" w:rsidRDefault="00EF4A04" w:rsidP="00EF4A04">
      <w:pPr>
        <w:rPr>
          <w:rFonts w:ascii="Tahoma" w:hAnsi="Tahoma" w:cs="Tahoma"/>
          <w:sz w:val="28"/>
          <w:szCs w:val="28"/>
        </w:rPr>
      </w:pPr>
      <w:r w:rsidRPr="00EF4A04">
        <w:rPr>
          <w:rFonts w:ascii="Tahoma" w:hAnsi="Tahoma" w:cs="Tahoma"/>
          <w:sz w:val="28"/>
          <w:szCs w:val="28"/>
        </w:rPr>
        <w:t>For dealmakers, this means:</w:t>
      </w:r>
    </w:p>
    <w:p w14:paraId="0681CD6F" w14:textId="4D9715EF" w:rsidR="00EF4A04" w:rsidRPr="00EF4A04" w:rsidRDefault="00EF4A04" w:rsidP="00184B1E">
      <w:pPr>
        <w:numPr>
          <w:ilvl w:val="0"/>
          <w:numId w:val="1"/>
        </w:numPr>
        <w:spacing w:after="0"/>
        <w:rPr>
          <w:rFonts w:ascii="Tahoma" w:hAnsi="Tahoma" w:cs="Tahoma"/>
          <w:sz w:val="28"/>
          <w:szCs w:val="28"/>
        </w:rPr>
      </w:pPr>
      <w:r w:rsidRPr="00EF4A04">
        <w:rPr>
          <w:rFonts w:ascii="Tahoma" w:hAnsi="Tahoma" w:cs="Tahoma"/>
          <w:sz w:val="28"/>
          <w:szCs w:val="28"/>
        </w:rPr>
        <w:t>Early regulatory planning is essential</w:t>
      </w:r>
    </w:p>
    <w:p w14:paraId="3CB2CD4D" w14:textId="38314C1D" w:rsidR="00EF4A04" w:rsidRPr="00EF4A04" w:rsidRDefault="00EF4A04" w:rsidP="00184B1E">
      <w:pPr>
        <w:numPr>
          <w:ilvl w:val="0"/>
          <w:numId w:val="1"/>
        </w:numPr>
        <w:spacing w:after="0"/>
        <w:rPr>
          <w:rFonts w:ascii="Tahoma" w:hAnsi="Tahoma" w:cs="Tahoma"/>
          <w:sz w:val="28"/>
          <w:szCs w:val="28"/>
        </w:rPr>
      </w:pPr>
      <w:r w:rsidRPr="00EF4A04">
        <w:rPr>
          <w:rFonts w:ascii="Tahoma" w:hAnsi="Tahoma" w:cs="Tahoma"/>
          <w:sz w:val="28"/>
          <w:szCs w:val="28"/>
        </w:rPr>
        <w:t>Longer approval cycles can undermine deal certainty</w:t>
      </w:r>
    </w:p>
    <w:p w14:paraId="327AE2BB" w14:textId="5641C9A7" w:rsidR="00EF4A04" w:rsidRPr="00EF4A04" w:rsidRDefault="00EF4A04" w:rsidP="00184B1E">
      <w:pPr>
        <w:numPr>
          <w:ilvl w:val="0"/>
          <w:numId w:val="1"/>
        </w:numPr>
        <w:spacing w:after="0"/>
        <w:rPr>
          <w:rFonts w:ascii="Tahoma" w:hAnsi="Tahoma" w:cs="Tahoma"/>
          <w:sz w:val="28"/>
          <w:szCs w:val="28"/>
        </w:rPr>
      </w:pPr>
      <w:r w:rsidRPr="00EF4A04">
        <w:rPr>
          <w:rFonts w:ascii="Tahoma" w:hAnsi="Tahoma" w:cs="Tahoma"/>
          <w:sz w:val="28"/>
          <w:szCs w:val="28"/>
        </w:rPr>
        <w:t>Strategic sectors are facing increased scrutiny</w:t>
      </w:r>
    </w:p>
    <w:p w14:paraId="2F58FF05" w14:textId="34E1F2B2" w:rsidR="00EF4A04" w:rsidRDefault="00EF4A04" w:rsidP="00184B1E">
      <w:pPr>
        <w:numPr>
          <w:ilvl w:val="0"/>
          <w:numId w:val="1"/>
        </w:numPr>
        <w:spacing w:after="0"/>
        <w:rPr>
          <w:rFonts w:ascii="Tahoma" w:hAnsi="Tahoma" w:cs="Tahoma"/>
          <w:sz w:val="28"/>
          <w:szCs w:val="28"/>
        </w:rPr>
      </w:pPr>
      <w:r w:rsidRPr="00EF4A04">
        <w:rPr>
          <w:rFonts w:ascii="Tahoma" w:hAnsi="Tahoma" w:cs="Tahoma"/>
          <w:sz w:val="28"/>
          <w:szCs w:val="28"/>
        </w:rPr>
        <w:t>Proactive engagement with regulatory authorities can significantly reduce friction and increase transparency throughout the transaction</w:t>
      </w:r>
    </w:p>
    <w:p w14:paraId="1A684D82" w14:textId="77777777" w:rsidR="00184B1E" w:rsidRPr="00EF4A04" w:rsidRDefault="00184B1E" w:rsidP="00184B1E">
      <w:pPr>
        <w:spacing w:after="0"/>
        <w:ind w:left="720"/>
        <w:rPr>
          <w:rFonts w:ascii="Tahoma" w:hAnsi="Tahoma" w:cs="Tahoma"/>
          <w:sz w:val="16"/>
          <w:szCs w:val="16"/>
        </w:rPr>
      </w:pPr>
    </w:p>
    <w:p w14:paraId="1312CBAF" w14:textId="40D11417" w:rsidR="00EF4A04" w:rsidRPr="00EF4A04" w:rsidRDefault="00EF4A04" w:rsidP="00EF4A04">
      <w:pPr>
        <w:rPr>
          <w:rFonts w:ascii="Tahoma" w:hAnsi="Tahoma" w:cs="Tahoma"/>
          <w:b/>
          <w:bCs/>
          <w:sz w:val="28"/>
          <w:szCs w:val="28"/>
        </w:rPr>
      </w:pPr>
      <w:r w:rsidRPr="00EF4A04">
        <w:rPr>
          <w:rFonts w:ascii="Tahoma" w:hAnsi="Tahoma" w:cs="Tahoma"/>
          <w:b/>
          <w:bCs/>
          <w:sz w:val="28"/>
          <w:szCs w:val="28"/>
        </w:rPr>
        <w:t xml:space="preserve">Cultural Integration: An </w:t>
      </w:r>
      <w:r w:rsidR="001B2FBA" w:rsidRPr="00EF4A04">
        <w:rPr>
          <w:rFonts w:ascii="Tahoma" w:hAnsi="Tahoma" w:cs="Tahoma"/>
          <w:b/>
          <w:bCs/>
          <w:sz w:val="28"/>
          <w:szCs w:val="28"/>
        </w:rPr>
        <w:t>Often</w:t>
      </w:r>
      <w:r w:rsidR="001B2FBA">
        <w:rPr>
          <w:rFonts w:ascii="Tahoma" w:hAnsi="Tahoma" w:cs="Tahoma"/>
          <w:b/>
          <w:bCs/>
          <w:sz w:val="28"/>
          <w:szCs w:val="28"/>
        </w:rPr>
        <w:t xml:space="preserve"> </w:t>
      </w:r>
      <w:r w:rsidR="001B2FBA" w:rsidRPr="00EF4A04">
        <w:rPr>
          <w:rFonts w:ascii="Tahoma" w:hAnsi="Tahoma" w:cs="Tahoma"/>
          <w:b/>
          <w:bCs/>
          <w:sz w:val="28"/>
          <w:szCs w:val="28"/>
        </w:rPr>
        <w:t>Underrated</w:t>
      </w:r>
      <w:r w:rsidRPr="00EF4A04">
        <w:rPr>
          <w:rFonts w:ascii="Tahoma" w:hAnsi="Tahoma" w:cs="Tahoma"/>
          <w:b/>
          <w:bCs/>
          <w:sz w:val="28"/>
          <w:szCs w:val="28"/>
        </w:rPr>
        <w:t xml:space="preserve"> Challenge</w:t>
      </w:r>
    </w:p>
    <w:p w14:paraId="531CBAA9"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Financial logic may justify the deal, but cultural alignment determines its success. Cross-border integrations frequently fail due to differences in leadership style, communication habits, and expectations around decision-making authority.</w:t>
      </w:r>
    </w:p>
    <w:p w14:paraId="1031C72E" w14:textId="77777777" w:rsidR="00EF4A04" w:rsidRPr="00EF4A04" w:rsidRDefault="00EF4A04" w:rsidP="00EF4A04">
      <w:pPr>
        <w:rPr>
          <w:rFonts w:ascii="Tahoma" w:hAnsi="Tahoma" w:cs="Tahoma"/>
          <w:sz w:val="28"/>
          <w:szCs w:val="28"/>
        </w:rPr>
      </w:pPr>
      <w:r w:rsidRPr="00EF4A04">
        <w:rPr>
          <w:rFonts w:ascii="Tahoma" w:hAnsi="Tahoma" w:cs="Tahoma"/>
          <w:sz w:val="28"/>
          <w:szCs w:val="28"/>
        </w:rPr>
        <w:t>Successful integrations prioritize:</w:t>
      </w:r>
    </w:p>
    <w:p w14:paraId="60B2E4C2" w14:textId="77777777" w:rsidR="00EF4A04" w:rsidRPr="00EF4A04" w:rsidRDefault="00EF4A04" w:rsidP="00EF4A04">
      <w:pPr>
        <w:numPr>
          <w:ilvl w:val="0"/>
          <w:numId w:val="2"/>
        </w:numPr>
        <w:spacing w:after="0"/>
        <w:rPr>
          <w:rFonts w:ascii="Tahoma" w:hAnsi="Tahoma" w:cs="Tahoma"/>
          <w:sz w:val="28"/>
          <w:szCs w:val="28"/>
        </w:rPr>
      </w:pPr>
      <w:r w:rsidRPr="00EF4A04">
        <w:rPr>
          <w:rFonts w:ascii="Tahoma" w:hAnsi="Tahoma" w:cs="Tahoma"/>
          <w:sz w:val="28"/>
          <w:szCs w:val="28"/>
        </w:rPr>
        <w:t>Open communication</w:t>
      </w:r>
    </w:p>
    <w:p w14:paraId="49FED765" w14:textId="77777777" w:rsidR="00EF4A04" w:rsidRPr="00EF4A04" w:rsidRDefault="00EF4A04" w:rsidP="00EF4A04">
      <w:pPr>
        <w:numPr>
          <w:ilvl w:val="0"/>
          <w:numId w:val="2"/>
        </w:numPr>
        <w:spacing w:after="0"/>
        <w:rPr>
          <w:rFonts w:ascii="Tahoma" w:hAnsi="Tahoma" w:cs="Tahoma"/>
          <w:sz w:val="28"/>
          <w:szCs w:val="28"/>
        </w:rPr>
      </w:pPr>
      <w:r w:rsidRPr="00EF4A04">
        <w:rPr>
          <w:rFonts w:ascii="Tahoma" w:hAnsi="Tahoma" w:cs="Tahoma"/>
          <w:sz w:val="28"/>
          <w:szCs w:val="28"/>
        </w:rPr>
        <w:t>Clear expectations</w:t>
      </w:r>
    </w:p>
    <w:p w14:paraId="509A0D44" w14:textId="77777777" w:rsidR="00EF4A04" w:rsidRPr="00EF4A04" w:rsidRDefault="00EF4A04" w:rsidP="00EF4A04">
      <w:pPr>
        <w:numPr>
          <w:ilvl w:val="0"/>
          <w:numId w:val="2"/>
        </w:numPr>
        <w:spacing w:after="0"/>
        <w:rPr>
          <w:rFonts w:ascii="Tahoma" w:hAnsi="Tahoma" w:cs="Tahoma"/>
          <w:sz w:val="28"/>
          <w:szCs w:val="28"/>
        </w:rPr>
      </w:pPr>
      <w:r w:rsidRPr="00EF4A04">
        <w:rPr>
          <w:rFonts w:ascii="Tahoma" w:hAnsi="Tahoma" w:cs="Tahoma"/>
          <w:sz w:val="28"/>
          <w:szCs w:val="28"/>
        </w:rPr>
        <w:t>Engagement of local teams</w:t>
      </w:r>
    </w:p>
    <w:p w14:paraId="40FBBFCC" w14:textId="77777777" w:rsidR="00EF4A04" w:rsidRDefault="00EF4A04" w:rsidP="00EF4A04">
      <w:pPr>
        <w:numPr>
          <w:ilvl w:val="0"/>
          <w:numId w:val="2"/>
        </w:numPr>
        <w:spacing w:after="0"/>
        <w:rPr>
          <w:rFonts w:ascii="Tahoma" w:hAnsi="Tahoma" w:cs="Tahoma"/>
          <w:sz w:val="28"/>
          <w:szCs w:val="28"/>
        </w:rPr>
      </w:pPr>
      <w:r w:rsidRPr="00EF4A04">
        <w:rPr>
          <w:rFonts w:ascii="Tahoma" w:hAnsi="Tahoma" w:cs="Tahoma"/>
          <w:sz w:val="28"/>
          <w:szCs w:val="28"/>
        </w:rPr>
        <w:t>Cultural due diligence in the pre-deal phase</w:t>
      </w:r>
    </w:p>
    <w:p w14:paraId="61833EAB" w14:textId="77777777" w:rsidR="00184B1E" w:rsidRPr="00EF4A04" w:rsidRDefault="00184B1E" w:rsidP="00184B1E">
      <w:pPr>
        <w:spacing w:after="0"/>
        <w:ind w:left="720"/>
        <w:rPr>
          <w:rFonts w:ascii="Tahoma" w:hAnsi="Tahoma" w:cs="Tahoma"/>
          <w:sz w:val="16"/>
          <w:szCs w:val="16"/>
        </w:rPr>
      </w:pPr>
    </w:p>
    <w:p w14:paraId="14F9C3A3" w14:textId="77777777" w:rsidR="00EF4A04" w:rsidRPr="00EF4A04" w:rsidRDefault="00EF4A04" w:rsidP="00EF4A04">
      <w:pPr>
        <w:rPr>
          <w:rFonts w:ascii="Tahoma" w:hAnsi="Tahoma" w:cs="Tahoma"/>
          <w:sz w:val="28"/>
          <w:szCs w:val="28"/>
        </w:rPr>
      </w:pPr>
      <w:r w:rsidRPr="00EF4A04">
        <w:rPr>
          <w:rFonts w:ascii="Tahoma" w:hAnsi="Tahoma" w:cs="Tahoma"/>
          <w:sz w:val="28"/>
          <w:szCs w:val="28"/>
        </w:rPr>
        <w:t>Ignoring cultural complexity can quickly erode value after closing.</w:t>
      </w:r>
    </w:p>
    <w:p w14:paraId="5685FB2D" w14:textId="77777777" w:rsidR="00EF4A04" w:rsidRPr="00EF4A04" w:rsidRDefault="00EF4A04" w:rsidP="00EF4A04">
      <w:pPr>
        <w:rPr>
          <w:rFonts w:ascii="Tahoma" w:hAnsi="Tahoma" w:cs="Tahoma"/>
          <w:b/>
          <w:bCs/>
          <w:sz w:val="28"/>
          <w:szCs w:val="28"/>
        </w:rPr>
      </w:pPr>
      <w:r w:rsidRPr="00EF4A04">
        <w:rPr>
          <w:rFonts w:ascii="Tahoma" w:hAnsi="Tahoma" w:cs="Tahoma"/>
          <w:b/>
          <w:bCs/>
          <w:sz w:val="28"/>
          <w:szCs w:val="28"/>
        </w:rPr>
        <w:t>Legal and Compliance Diversity</w:t>
      </w:r>
    </w:p>
    <w:p w14:paraId="6D01CFBA"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 xml:space="preserve">Legal systems vary widely, and cross-border transactions often require navigating a patchwork of contract standards, </w:t>
      </w:r>
      <w:proofErr w:type="spellStart"/>
      <w:r w:rsidRPr="00EF4A04">
        <w:rPr>
          <w:rFonts w:ascii="Tahoma" w:hAnsi="Tahoma" w:cs="Tahoma"/>
          <w:sz w:val="28"/>
          <w:szCs w:val="28"/>
        </w:rPr>
        <w:t>labor</w:t>
      </w:r>
      <w:proofErr w:type="spellEnd"/>
      <w:r w:rsidRPr="00EF4A04">
        <w:rPr>
          <w:rFonts w:ascii="Tahoma" w:hAnsi="Tahoma" w:cs="Tahoma"/>
          <w:sz w:val="28"/>
          <w:szCs w:val="28"/>
        </w:rPr>
        <w:t xml:space="preserve"> laws, and data protection requirements.</w:t>
      </w:r>
    </w:p>
    <w:p w14:paraId="798AFF5D"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Key areas requiring special attention include:</w:t>
      </w:r>
    </w:p>
    <w:p w14:paraId="64738918" w14:textId="77777777" w:rsidR="00EF4A04" w:rsidRPr="00EF4A04" w:rsidRDefault="00EF4A04" w:rsidP="00EF4A04">
      <w:pPr>
        <w:numPr>
          <w:ilvl w:val="0"/>
          <w:numId w:val="3"/>
        </w:numPr>
        <w:spacing w:after="0"/>
        <w:rPr>
          <w:rFonts w:ascii="Tahoma" w:hAnsi="Tahoma" w:cs="Tahoma"/>
          <w:sz w:val="28"/>
          <w:szCs w:val="28"/>
        </w:rPr>
      </w:pPr>
      <w:r w:rsidRPr="00EF4A04">
        <w:rPr>
          <w:rFonts w:ascii="Tahoma" w:hAnsi="Tahoma" w:cs="Tahoma"/>
          <w:sz w:val="28"/>
          <w:szCs w:val="28"/>
        </w:rPr>
        <w:t>Representations and warranties – differing disclosure standards</w:t>
      </w:r>
    </w:p>
    <w:p w14:paraId="3F5F56BA" w14:textId="77777777" w:rsidR="00EF4A04" w:rsidRPr="00EF4A04" w:rsidRDefault="00EF4A04" w:rsidP="00EF4A04">
      <w:pPr>
        <w:numPr>
          <w:ilvl w:val="0"/>
          <w:numId w:val="3"/>
        </w:numPr>
        <w:spacing w:after="0"/>
        <w:rPr>
          <w:rFonts w:ascii="Tahoma" w:hAnsi="Tahoma" w:cs="Tahoma"/>
          <w:sz w:val="28"/>
          <w:szCs w:val="28"/>
        </w:rPr>
      </w:pPr>
      <w:r w:rsidRPr="00EF4A04">
        <w:rPr>
          <w:rFonts w:ascii="Tahoma" w:hAnsi="Tahoma" w:cs="Tahoma"/>
          <w:sz w:val="28"/>
          <w:szCs w:val="28"/>
        </w:rPr>
        <w:t>Labor law – transfer of undertakings (TUPE), collective bargaining agreements, and worker protections</w:t>
      </w:r>
    </w:p>
    <w:p w14:paraId="478F04D2" w14:textId="77777777" w:rsidR="00EF4A04" w:rsidRPr="00EF4A04" w:rsidRDefault="00EF4A04" w:rsidP="00EF4A04">
      <w:pPr>
        <w:numPr>
          <w:ilvl w:val="0"/>
          <w:numId w:val="3"/>
        </w:numPr>
        <w:spacing w:after="0"/>
        <w:rPr>
          <w:rFonts w:ascii="Tahoma" w:hAnsi="Tahoma" w:cs="Tahoma"/>
          <w:sz w:val="28"/>
          <w:szCs w:val="28"/>
        </w:rPr>
      </w:pPr>
      <w:r w:rsidRPr="00EF4A04">
        <w:rPr>
          <w:rFonts w:ascii="Tahoma" w:hAnsi="Tahoma" w:cs="Tahoma"/>
          <w:sz w:val="28"/>
          <w:szCs w:val="28"/>
        </w:rPr>
        <w:t>Data protection – GDPR and emerging privacy regulations</w:t>
      </w:r>
    </w:p>
    <w:p w14:paraId="54B8D1AB" w14:textId="77777777" w:rsidR="00EF4A04" w:rsidRDefault="00EF4A04" w:rsidP="00EF4A04">
      <w:pPr>
        <w:numPr>
          <w:ilvl w:val="0"/>
          <w:numId w:val="3"/>
        </w:numPr>
        <w:spacing w:after="0"/>
        <w:rPr>
          <w:rFonts w:ascii="Tahoma" w:hAnsi="Tahoma" w:cs="Tahoma"/>
          <w:sz w:val="28"/>
          <w:szCs w:val="28"/>
        </w:rPr>
      </w:pPr>
      <w:r w:rsidRPr="00EF4A04">
        <w:rPr>
          <w:rFonts w:ascii="Tahoma" w:hAnsi="Tahoma" w:cs="Tahoma"/>
          <w:sz w:val="28"/>
          <w:szCs w:val="28"/>
        </w:rPr>
        <w:t>Antitrust coordination across multiple jurisdictions</w:t>
      </w:r>
    </w:p>
    <w:p w14:paraId="34874ED2" w14:textId="77777777" w:rsidR="00184B1E" w:rsidRPr="00EF4A04" w:rsidRDefault="00184B1E" w:rsidP="00184B1E">
      <w:pPr>
        <w:spacing w:after="0"/>
        <w:ind w:left="720"/>
        <w:rPr>
          <w:rFonts w:ascii="Tahoma" w:hAnsi="Tahoma" w:cs="Tahoma"/>
          <w:sz w:val="16"/>
          <w:szCs w:val="16"/>
        </w:rPr>
      </w:pPr>
    </w:p>
    <w:p w14:paraId="51505DBE" w14:textId="133A669D" w:rsidR="00EF4A04" w:rsidRPr="00EF4A04" w:rsidRDefault="00EF4A04" w:rsidP="00EF4A04">
      <w:pPr>
        <w:jc w:val="both"/>
        <w:rPr>
          <w:rFonts w:ascii="Tahoma" w:hAnsi="Tahoma" w:cs="Tahoma"/>
          <w:sz w:val="28"/>
          <w:szCs w:val="28"/>
        </w:rPr>
      </w:pPr>
      <w:r w:rsidRPr="00EF4A04">
        <w:rPr>
          <w:rFonts w:ascii="Tahoma" w:hAnsi="Tahoma" w:cs="Tahoma"/>
          <w:sz w:val="28"/>
          <w:szCs w:val="28"/>
        </w:rPr>
        <w:t>Multijurisdictional legal counsel is no longer optional—it’s a core component of deal risk management.</w:t>
      </w:r>
    </w:p>
    <w:p w14:paraId="2DAE2179" w14:textId="77777777" w:rsidR="00EF4A04" w:rsidRPr="00EF4A04" w:rsidRDefault="00EF4A04" w:rsidP="00EF4A04">
      <w:pPr>
        <w:rPr>
          <w:rFonts w:ascii="Tahoma" w:hAnsi="Tahoma" w:cs="Tahoma"/>
          <w:b/>
          <w:bCs/>
          <w:sz w:val="28"/>
          <w:szCs w:val="28"/>
        </w:rPr>
      </w:pPr>
      <w:r w:rsidRPr="00EF4A04">
        <w:rPr>
          <w:rFonts w:ascii="Tahoma" w:hAnsi="Tahoma" w:cs="Tahoma"/>
          <w:b/>
          <w:bCs/>
          <w:sz w:val="28"/>
          <w:szCs w:val="28"/>
        </w:rPr>
        <w:t>Tax Structuring in a Changing Environment</w:t>
      </w:r>
    </w:p>
    <w:p w14:paraId="0C46E578"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Global tax reform is reshaping deal strategies. OECD BEPS initiatives and the 15% global minimum tax are narrowing the space for aggressive tax planning and influencing how multinationals finance acquisitions.</w:t>
      </w:r>
    </w:p>
    <w:p w14:paraId="16DDDD26" w14:textId="77777777" w:rsidR="00EF4A04" w:rsidRPr="00EF4A04" w:rsidRDefault="00EF4A04" w:rsidP="00EF4A04">
      <w:pPr>
        <w:rPr>
          <w:rFonts w:ascii="Tahoma" w:hAnsi="Tahoma" w:cs="Tahoma"/>
          <w:sz w:val="28"/>
          <w:szCs w:val="28"/>
        </w:rPr>
      </w:pPr>
      <w:r w:rsidRPr="00EF4A04">
        <w:rPr>
          <w:rFonts w:ascii="Tahoma" w:hAnsi="Tahoma" w:cs="Tahoma"/>
          <w:sz w:val="28"/>
          <w:szCs w:val="28"/>
        </w:rPr>
        <w:t>Key focus areas include:</w:t>
      </w:r>
    </w:p>
    <w:p w14:paraId="5879C941" w14:textId="77777777" w:rsidR="00EF4A04" w:rsidRPr="00EF4A04" w:rsidRDefault="00EF4A04" w:rsidP="00EF4A04">
      <w:pPr>
        <w:numPr>
          <w:ilvl w:val="0"/>
          <w:numId w:val="4"/>
        </w:numPr>
        <w:spacing w:after="0"/>
        <w:rPr>
          <w:rFonts w:ascii="Tahoma" w:hAnsi="Tahoma" w:cs="Tahoma"/>
          <w:sz w:val="28"/>
          <w:szCs w:val="28"/>
        </w:rPr>
      </w:pPr>
      <w:r w:rsidRPr="00EF4A04">
        <w:rPr>
          <w:rFonts w:ascii="Tahoma" w:hAnsi="Tahoma" w:cs="Tahoma"/>
          <w:sz w:val="28"/>
          <w:szCs w:val="28"/>
        </w:rPr>
        <w:t>Avoidance of double taxation</w:t>
      </w:r>
    </w:p>
    <w:p w14:paraId="532AA345" w14:textId="77777777" w:rsidR="00EF4A04" w:rsidRPr="00EF4A04" w:rsidRDefault="00EF4A04" w:rsidP="00EF4A04">
      <w:pPr>
        <w:numPr>
          <w:ilvl w:val="0"/>
          <w:numId w:val="4"/>
        </w:numPr>
        <w:spacing w:after="0"/>
        <w:rPr>
          <w:rFonts w:ascii="Tahoma" w:hAnsi="Tahoma" w:cs="Tahoma"/>
          <w:sz w:val="28"/>
          <w:szCs w:val="28"/>
        </w:rPr>
      </w:pPr>
      <w:r w:rsidRPr="00EF4A04">
        <w:rPr>
          <w:rFonts w:ascii="Tahoma" w:hAnsi="Tahoma" w:cs="Tahoma"/>
          <w:sz w:val="28"/>
          <w:szCs w:val="28"/>
        </w:rPr>
        <w:t>Managing transfer pricing risks</w:t>
      </w:r>
    </w:p>
    <w:p w14:paraId="25C6740C" w14:textId="77777777" w:rsidR="00EF4A04" w:rsidRPr="00EF4A04" w:rsidRDefault="00EF4A04" w:rsidP="00EF4A04">
      <w:pPr>
        <w:numPr>
          <w:ilvl w:val="0"/>
          <w:numId w:val="4"/>
        </w:numPr>
        <w:spacing w:after="0"/>
        <w:rPr>
          <w:rFonts w:ascii="Tahoma" w:hAnsi="Tahoma" w:cs="Tahoma"/>
          <w:sz w:val="28"/>
          <w:szCs w:val="28"/>
        </w:rPr>
      </w:pPr>
      <w:r w:rsidRPr="00EF4A04">
        <w:rPr>
          <w:rFonts w:ascii="Tahoma" w:hAnsi="Tahoma" w:cs="Tahoma"/>
          <w:sz w:val="28"/>
          <w:szCs w:val="28"/>
        </w:rPr>
        <w:t>Structuring cross-border financing and profit repatriation</w:t>
      </w:r>
    </w:p>
    <w:p w14:paraId="495EAC01" w14:textId="77777777" w:rsidR="00EF4A04" w:rsidRPr="00EF4A04" w:rsidRDefault="00EF4A04" w:rsidP="00EF4A04">
      <w:pPr>
        <w:numPr>
          <w:ilvl w:val="0"/>
          <w:numId w:val="4"/>
        </w:numPr>
        <w:spacing w:after="0"/>
        <w:rPr>
          <w:rFonts w:ascii="Tahoma" w:hAnsi="Tahoma" w:cs="Tahoma"/>
          <w:sz w:val="28"/>
          <w:szCs w:val="28"/>
        </w:rPr>
      </w:pPr>
      <w:r w:rsidRPr="00EF4A04">
        <w:rPr>
          <w:rFonts w:ascii="Tahoma" w:hAnsi="Tahoma" w:cs="Tahoma"/>
          <w:sz w:val="28"/>
          <w:szCs w:val="28"/>
        </w:rPr>
        <w:t>Identifying legacy liabilities at target companies</w:t>
      </w:r>
    </w:p>
    <w:p w14:paraId="7DCF3E24" w14:textId="77777777" w:rsidR="00184B1E" w:rsidRPr="00184B1E" w:rsidRDefault="00184B1E" w:rsidP="00EF4A04">
      <w:pPr>
        <w:rPr>
          <w:rFonts w:ascii="Tahoma" w:hAnsi="Tahoma" w:cs="Tahoma"/>
          <w:sz w:val="4"/>
          <w:szCs w:val="4"/>
        </w:rPr>
      </w:pPr>
    </w:p>
    <w:p w14:paraId="4FF96C51" w14:textId="18CFFAA5" w:rsidR="00EF4A04" w:rsidRPr="00EF4A04" w:rsidRDefault="00EF4A04" w:rsidP="00EF4A04">
      <w:pPr>
        <w:rPr>
          <w:rFonts w:ascii="Tahoma" w:hAnsi="Tahoma" w:cs="Tahoma"/>
          <w:sz w:val="28"/>
          <w:szCs w:val="28"/>
        </w:rPr>
      </w:pPr>
      <w:r w:rsidRPr="00EF4A04">
        <w:rPr>
          <w:rFonts w:ascii="Tahoma" w:hAnsi="Tahoma" w:cs="Tahoma"/>
          <w:sz w:val="28"/>
          <w:szCs w:val="28"/>
        </w:rPr>
        <w:t>Early collaboration between tax advisors and deal teams is crucial.</w:t>
      </w:r>
    </w:p>
    <w:p w14:paraId="2DE5C4E2" w14:textId="77777777" w:rsidR="00EF4A04" w:rsidRPr="00EF4A04" w:rsidRDefault="00EF4A04" w:rsidP="00EF4A04">
      <w:pPr>
        <w:rPr>
          <w:rFonts w:ascii="Tahoma" w:hAnsi="Tahoma" w:cs="Tahoma"/>
          <w:b/>
          <w:bCs/>
          <w:sz w:val="28"/>
          <w:szCs w:val="28"/>
        </w:rPr>
      </w:pPr>
      <w:r w:rsidRPr="00EF4A04">
        <w:rPr>
          <w:rFonts w:ascii="Tahoma" w:hAnsi="Tahoma" w:cs="Tahoma"/>
          <w:b/>
          <w:bCs/>
          <w:sz w:val="28"/>
          <w:szCs w:val="28"/>
        </w:rPr>
        <w:t>FX Volatility and Macroeconomic Shifts</w:t>
      </w:r>
    </w:p>
    <w:p w14:paraId="62BEDDA1"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Currency fluctuations and changing interest rates can directly affect valuation and financing. Active risk mitigation strategies—such as hedging, pricing adjustment mechanisms, and earn-outs—are becoming increasingly common.</w:t>
      </w:r>
    </w:p>
    <w:p w14:paraId="4F4946EC"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Monitoring geopolitical developments and macroeconomic indicators is essential to maintain financial stability throughout the transaction cycle.</w:t>
      </w:r>
    </w:p>
    <w:p w14:paraId="39EF4894" w14:textId="77777777" w:rsidR="00EF4A04" w:rsidRPr="00EF4A04" w:rsidRDefault="00EF4A04" w:rsidP="00EF4A04">
      <w:pPr>
        <w:rPr>
          <w:rFonts w:ascii="Tahoma" w:hAnsi="Tahoma" w:cs="Tahoma"/>
          <w:b/>
          <w:bCs/>
          <w:sz w:val="28"/>
          <w:szCs w:val="28"/>
        </w:rPr>
      </w:pPr>
      <w:r w:rsidRPr="00EF4A04">
        <w:rPr>
          <w:rFonts w:ascii="Tahoma" w:hAnsi="Tahoma" w:cs="Tahoma"/>
          <w:b/>
          <w:bCs/>
          <w:sz w:val="28"/>
          <w:szCs w:val="28"/>
        </w:rPr>
        <w:t>The Rise of ESG and Ethical Due Diligence</w:t>
      </w:r>
    </w:p>
    <w:p w14:paraId="2BC035FA"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 xml:space="preserve">Environmental, social, and governance (ESG) factors are playing a growing role in valuations and regulatory approvals. Stakeholders expect transparency in areas such as supply chain compliance, carbon reporting, and </w:t>
      </w:r>
      <w:proofErr w:type="spellStart"/>
      <w:r w:rsidRPr="00EF4A04">
        <w:rPr>
          <w:rFonts w:ascii="Tahoma" w:hAnsi="Tahoma" w:cs="Tahoma"/>
          <w:sz w:val="28"/>
          <w:szCs w:val="28"/>
        </w:rPr>
        <w:t>labor</w:t>
      </w:r>
      <w:proofErr w:type="spellEnd"/>
      <w:r w:rsidRPr="00EF4A04">
        <w:rPr>
          <w:rFonts w:ascii="Tahoma" w:hAnsi="Tahoma" w:cs="Tahoma"/>
          <w:sz w:val="28"/>
          <w:szCs w:val="28"/>
        </w:rPr>
        <w:t xml:space="preserve"> standards.</w:t>
      </w:r>
    </w:p>
    <w:p w14:paraId="07E373FE" w14:textId="71B9427D" w:rsidR="00EF4A04" w:rsidRPr="00EF4A04" w:rsidRDefault="00EF4A04" w:rsidP="00EF4A04">
      <w:pPr>
        <w:rPr>
          <w:rFonts w:ascii="Tahoma" w:hAnsi="Tahoma" w:cs="Tahoma"/>
          <w:sz w:val="28"/>
          <w:szCs w:val="28"/>
        </w:rPr>
      </w:pPr>
      <w:r w:rsidRPr="00EF4A04">
        <w:rPr>
          <w:rFonts w:ascii="Tahoma" w:hAnsi="Tahoma" w:cs="Tahoma"/>
          <w:sz w:val="28"/>
          <w:szCs w:val="28"/>
        </w:rPr>
        <w:lastRenderedPageBreak/>
        <w:t>Ignoring ESG risks can lead to:</w:t>
      </w:r>
    </w:p>
    <w:p w14:paraId="3BE58548" w14:textId="77777777" w:rsidR="00EF4A04" w:rsidRPr="00EF4A04" w:rsidRDefault="00EF4A04" w:rsidP="00EF4A04">
      <w:pPr>
        <w:numPr>
          <w:ilvl w:val="0"/>
          <w:numId w:val="5"/>
        </w:numPr>
        <w:spacing w:after="0"/>
        <w:rPr>
          <w:rFonts w:ascii="Tahoma" w:hAnsi="Tahoma" w:cs="Tahoma"/>
          <w:sz w:val="28"/>
          <w:szCs w:val="28"/>
        </w:rPr>
      </w:pPr>
      <w:r w:rsidRPr="00EF4A04">
        <w:rPr>
          <w:rFonts w:ascii="Tahoma" w:hAnsi="Tahoma" w:cs="Tahoma"/>
          <w:sz w:val="28"/>
          <w:szCs w:val="28"/>
        </w:rPr>
        <w:t>Regulatory challenges</w:t>
      </w:r>
    </w:p>
    <w:p w14:paraId="6F36E2DC" w14:textId="77777777" w:rsidR="00EF4A04" w:rsidRPr="00EF4A04" w:rsidRDefault="00EF4A04" w:rsidP="00EF4A04">
      <w:pPr>
        <w:numPr>
          <w:ilvl w:val="0"/>
          <w:numId w:val="5"/>
        </w:numPr>
        <w:spacing w:after="0"/>
        <w:rPr>
          <w:rFonts w:ascii="Tahoma" w:hAnsi="Tahoma" w:cs="Tahoma"/>
          <w:sz w:val="28"/>
          <w:szCs w:val="28"/>
        </w:rPr>
      </w:pPr>
      <w:r w:rsidRPr="00EF4A04">
        <w:rPr>
          <w:rFonts w:ascii="Tahoma" w:hAnsi="Tahoma" w:cs="Tahoma"/>
          <w:sz w:val="28"/>
          <w:szCs w:val="28"/>
        </w:rPr>
        <w:t>Reputational damage</w:t>
      </w:r>
    </w:p>
    <w:p w14:paraId="27AA0B9B" w14:textId="77777777" w:rsidR="00EF4A04" w:rsidRPr="00EF4A04" w:rsidRDefault="00EF4A04" w:rsidP="00EF4A04">
      <w:pPr>
        <w:numPr>
          <w:ilvl w:val="0"/>
          <w:numId w:val="5"/>
        </w:numPr>
        <w:spacing w:after="0"/>
        <w:rPr>
          <w:rFonts w:ascii="Tahoma" w:hAnsi="Tahoma" w:cs="Tahoma"/>
          <w:sz w:val="28"/>
          <w:szCs w:val="28"/>
        </w:rPr>
      </w:pPr>
      <w:r w:rsidRPr="00EF4A04">
        <w:rPr>
          <w:rFonts w:ascii="Tahoma" w:hAnsi="Tahoma" w:cs="Tahoma"/>
          <w:sz w:val="28"/>
          <w:szCs w:val="28"/>
        </w:rPr>
        <w:t>Financing constraints</w:t>
      </w:r>
    </w:p>
    <w:p w14:paraId="418C128C" w14:textId="77777777" w:rsidR="00EF4A04" w:rsidRDefault="00EF4A04" w:rsidP="00EF4A04">
      <w:pPr>
        <w:numPr>
          <w:ilvl w:val="0"/>
          <w:numId w:val="5"/>
        </w:numPr>
        <w:spacing w:after="0"/>
        <w:rPr>
          <w:rFonts w:ascii="Tahoma" w:hAnsi="Tahoma" w:cs="Tahoma"/>
          <w:sz w:val="28"/>
          <w:szCs w:val="28"/>
        </w:rPr>
      </w:pPr>
      <w:r w:rsidRPr="00EF4A04">
        <w:rPr>
          <w:rFonts w:ascii="Tahoma" w:hAnsi="Tahoma" w:cs="Tahoma"/>
          <w:sz w:val="28"/>
          <w:szCs w:val="28"/>
        </w:rPr>
        <w:t>Costly remediation after closing</w:t>
      </w:r>
    </w:p>
    <w:p w14:paraId="3D4EF313" w14:textId="77777777" w:rsidR="00184B1E" w:rsidRPr="00EF4A04" w:rsidRDefault="00184B1E" w:rsidP="00184B1E">
      <w:pPr>
        <w:spacing w:after="0"/>
        <w:ind w:left="720"/>
        <w:rPr>
          <w:rFonts w:ascii="Tahoma" w:hAnsi="Tahoma" w:cs="Tahoma"/>
          <w:sz w:val="16"/>
          <w:szCs w:val="16"/>
        </w:rPr>
      </w:pPr>
    </w:p>
    <w:p w14:paraId="35B06B83" w14:textId="77777777" w:rsidR="00EF4A04" w:rsidRPr="00EF4A04" w:rsidRDefault="00EF4A04" w:rsidP="00EF4A04">
      <w:pPr>
        <w:rPr>
          <w:rFonts w:ascii="Tahoma" w:hAnsi="Tahoma" w:cs="Tahoma"/>
          <w:sz w:val="28"/>
          <w:szCs w:val="28"/>
        </w:rPr>
      </w:pPr>
      <w:r w:rsidRPr="00EF4A04">
        <w:rPr>
          <w:rFonts w:ascii="Tahoma" w:hAnsi="Tahoma" w:cs="Tahoma"/>
          <w:sz w:val="28"/>
          <w:szCs w:val="28"/>
        </w:rPr>
        <w:t>ESG is evolving from a “nice-to-have” into a core pillar of M&amp;A risk assessment.</w:t>
      </w:r>
    </w:p>
    <w:p w14:paraId="02CEC9B9" w14:textId="77777777" w:rsidR="00EF4A04" w:rsidRPr="00EF4A04" w:rsidRDefault="00EF4A04" w:rsidP="00EF4A04">
      <w:pPr>
        <w:rPr>
          <w:rFonts w:ascii="Tahoma" w:hAnsi="Tahoma" w:cs="Tahoma"/>
          <w:b/>
          <w:bCs/>
          <w:sz w:val="28"/>
          <w:szCs w:val="28"/>
        </w:rPr>
      </w:pPr>
      <w:r w:rsidRPr="00EF4A04">
        <w:rPr>
          <w:rFonts w:ascii="Tahoma" w:hAnsi="Tahoma" w:cs="Tahoma"/>
          <w:b/>
          <w:bCs/>
          <w:sz w:val="28"/>
          <w:szCs w:val="28"/>
        </w:rPr>
        <w:t>Technology Due Diligence: More Than Just IT</w:t>
      </w:r>
    </w:p>
    <w:p w14:paraId="521D7FC5" w14:textId="77777777" w:rsidR="00EF4A04" w:rsidRPr="00EF4A04" w:rsidRDefault="00EF4A04" w:rsidP="00EF4A04">
      <w:pPr>
        <w:jc w:val="both"/>
        <w:rPr>
          <w:rFonts w:ascii="Tahoma" w:hAnsi="Tahoma" w:cs="Tahoma"/>
          <w:sz w:val="28"/>
          <w:szCs w:val="28"/>
        </w:rPr>
      </w:pPr>
      <w:r w:rsidRPr="00EF4A04">
        <w:rPr>
          <w:rFonts w:ascii="Tahoma" w:hAnsi="Tahoma" w:cs="Tahoma"/>
          <w:sz w:val="28"/>
          <w:szCs w:val="28"/>
        </w:rPr>
        <w:t>Cybersecurity breaches, intellectual property disputes, and insufficient digital integration pose substantial risks. As companies become increasingly data-driven, technology audits extend far beyond infrastructure checks. Focus areas include:</w:t>
      </w:r>
    </w:p>
    <w:p w14:paraId="50BB7FEF" w14:textId="77777777" w:rsidR="00EF4A04" w:rsidRPr="00EF4A04" w:rsidRDefault="00EF4A04" w:rsidP="00EF4A04">
      <w:pPr>
        <w:numPr>
          <w:ilvl w:val="0"/>
          <w:numId w:val="6"/>
        </w:numPr>
        <w:spacing w:after="0"/>
        <w:rPr>
          <w:rFonts w:ascii="Tahoma" w:hAnsi="Tahoma" w:cs="Tahoma"/>
          <w:sz w:val="28"/>
          <w:szCs w:val="28"/>
        </w:rPr>
      </w:pPr>
      <w:r w:rsidRPr="00EF4A04">
        <w:rPr>
          <w:rFonts w:ascii="Tahoma" w:hAnsi="Tahoma" w:cs="Tahoma"/>
          <w:sz w:val="28"/>
          <w:szCs w:val="28"/>
        </w:rPr>
        <w:t>Software licensing</w:t>
      </w:r>
    </w:p>
    <w:p w14:paraId="4427DCB9" w14:textId="77777777" w:rsidR="00EF4A04" w:rsidRPr="00EF4A04" w:rsidRDefault="00EF4A04" w:rsidP="00EF4A04">
      <w:pPr>
        <w:numPr>
          <w:ilvl w:val="0"/>
          <w:numId w:val="6"/>
        </w:numPr>
        <w:spacing w:after="0"/>
        <w:rPr>
          <w:rFonts w:ascii="Tahoma" w:hAnsi="Tahoma" w:cs="Tahoma"/>
          <w:sz w:val="28"/>
          <w:szCs w:val="28"/>
        </w:rPr>
      </w:pPr>
      <w:r w:rsidRPr="00EF4A04">
        <w:rPr>
          <w:rFonts w:ascii="Tahoma" w:hAnsi="Tahoma" w:cs="Tahoma"/>
          <w:sz w:val="28"/>
          <w:szCs w:val="28"/>
        </w:rPr>
        <w:t>Cloud security</w:t>
      </w:r>
    </w:p>
    <w:p w14:paraId="484B8A6F" w14:textId="77777777" w:rsidR="00EF4A04" w:rsidRPr="00EF4A04" w:rsidRDefault="00EF4A04" w:rsidP="00EF4A04">
      <w:pPr>
        <w:numPr>
          <w:ilvl w:val="0"/>
          <w:numId w:val="6"/>
        </w:numPr>
        <w:spacing w:after="0"/>
        <w:rPr>
          <w:rFonts w:ascii="Tahoma" w:hAnsi="Tahoma" w:cs="Tahoma"/>
          <w:sz w:val="28"/>
          <w:szCs w:val="28"/>
        </w:rPr>
      </w:pPr>
      <w:r w:rsidRPr="00EF4A04">
        <w:rPr>
          <w:rFonts w:ascii="Tahoma" w:hAnsi="Tahoma" w:cs="Tahoma"/>
          <w:sz w:val="28"/>
          <w:szCs w:val="28"/>
        </w:rPr>
        <w:t>AI governance and data sovereignty</w:t>
      </w:r>
    </w:p>
    <w:p w14:paraId="150AAD60" w14:textId="77777777" w:rsidR="00EF4A04" w:rsidRPr="00EF4A04" w:rsidRDefault="00EF4A04" w:rsidP="00EF4A04">
      <w:pPr>
        <w:numPr>
          <w:ilvl w:val="0"/>
          <w:numId w:val="6"/>
        </w:numPr>
        <w:spacing w:after="0"/>
        <w:rPr>
          <w:rFonts w:ascii="Tahoma" w:hAnsi="Tahoma" w:cs="Tahoma"/>
          <w:sz w:val="28"/>
          <w:szCs w:val="28"/>
        </w:rPr>
      </w:pPr>
      <w:r w:rsidRPr="00EF4A04">
        <w:rPr>
          <w:rFonts w:ascii="Tahoma" w:hAnsi="Tahoma" w:cs="Tahoma"/>
          <w:sz w:val="28"/>
          <w:szCs w:val="28"/>
        </w:rPr>
        <w:t>Cyber-resilience frameworks</w:t>
      </w:r>
    </w:p>
    <w:p w14:paraId="55AA08AD" w14:textId="77777777" w:rsidR="00EF4A04" w:rsidRPr="00EF4A04" w:rsidRDefault="00EF4A04" w:rsidP="00EF4A04">
      <w:pPr>
        <w:numPr>
          <w:ilvl w:val="0"/>
          <w:numId w:val="6"/>
        </w:numPr>
        <w:spacing w:after="0"/>
        <w:rPr>
          <w:rFonts w:ascii="Tahoma" w:hAnsi="Tahoma" w:cs="Tahoma"/>
          <w:sz w:val="28"/>
          <w:szCs w:val="28"/>
        </w:rPr>
      </w:pPr>
      <w:r w:rsidRPr="00EF4A04">
        <w:rPr>
          <w:rFonts w:ascii="Tahoma" w:hAnsi="Tahoma" w:cs="Tahoma"/>
          <w:sz w:val="28"/>
          <w:szCs w:val="28"/>
        </w:rPr>
        <w:t>Digital integration planning</w:t>
      </w:r>
    </w:p>
    <w:p w14:paraId="15D23AFB" w14:textId="77777777" w:rsidR="00184B1E" w:rsidRPr="00184B1E" w:rsidRDefault="00184B1E" w:rsidP="00EF4A04">
      <w:pPr>
        <w:rPr>
          <w:rFonts w:ascii="Tahoma" w:hAnsi="Tahoma" w:cs="Tahoma"/>
          <w:sz w:val="4"/>
          <w:szCs w:val="4"/>
        </w:rPr>
      </w:pPr>
    </w:p>
    <w:p w14:paraId="771BB5A7" w14:textId="2E97EFAB" w:rsidR="00EF4A04" w:rsidRPr="00EF4A04" w:rsidRDefault="00EF4A04" w:rsidP="00EF4A04">
      <w:pPr>
        <w:rPr>
          <w:rFonts w:ascii="Tahoma" w:hAnsi="Tahoma" w:cs="Tahoma"/>
          <w:sz w:val="28"/>
          <w:szCs w:val="28"/>
        </w:rPr>
      </w:pPr>
      <w:r w:rsidRPr="00EF4A04">
        <w:rPr>
          <w:rFonts w:ascii="Tahoma" w:hAnsi="Tahoma" w:cs="Tahoma"/>
          <w:sz w:val="28"/>
          <w:szCs w:val="28"/>
        </w:rPr>
        <w:t>Given the global rise in cyberattacks, cybersecurity due diligence has become a critical priority.</w:t>
      </w:r>
    </w:p>
    <w:p w14:paraId="1F6D1CF8" w14:textId="21C744DC" w:rsidR="00EF4A04" w:rsidRPr="00EF4A04" w:rsidRDefault="00EF4A04" w:rsidP="00EF4A04">
      <w:pPr>
        <w:rPr>
          <w:rFonts w:ascii="Tahoma" w:hAnsi="Tahoma" w:cs="Tahoma"/>
          <w:b/>
          <w:bCs/>
          <w:sz w:val="28"/>
          <w:szCs w:val="28"/>
        </w:rPr>
      </w:pPr>
      <w:r w:rsidRPr="00EF4A04">
        <w:rPr>
          <w:rFonts w:ascii="Tahoma" w:hAnsi="Tahoma" w:cs="Tahoma"/>
          <w:b/>
          <w:bCs/>
          <w:sz w:val="28"/>
          <w:szCs w:val="28"/>
        </w:rPr>
        <w:t>Preparation Creates Competitive Advantage</w:t>
      </w:r>
    </w:p>
    <w:p w14:paraId="37FD27D7" w14:textId="6BBAC95E" w:rsidR="00EF4A04" w:rsidRPr="00EF4A04" w:rsidRDefault="00EF4A04" w:rsidP="00EF4A04">
      <w:pPr>
        <w:rPr>
          <w:rFonts w:ascii="Tahoma" w:hAnsi="Tahoma" w:cs="Tahoma"/>
          <w:sz w:val="28"/>
          <w:szCs w:val="28"/>
        </w:rPr>
      </w:pPr>
      <w:r w:rsidRPr="00EF4A04">
        <w:rPr>
          <w:rFonts w:ascii="Tahoma" w:hAnsi="Tahoma" w:cs="Tahoma"/>
          <w:sz w:val="28"/>
          <w:szCs w:val="28"/>
        </w:rPr>
        <w:t>As we look toward 202</w:t>
      </w:r>
      <w:r>
        <w:rPr>
          <w:rFonts w:ascii="Tahoma" w:hAnsi="Tahoma" w:cs="Tahoma"/>
          <w:sz w:val="28"/>
          <w:szCs w:val="28"/>
        </w:rPr>
        <w:t>6</w:t>
      </w:r>
      <w:r w:rsidRPr="00EF4A04">
        <w:rPr>
          <w:rFonts w:ascii="Tahoma" w:hAnsi="Tahoma" w:cs="Tahoma"/>
          <w:sz w:val="28"/>
          <w:szCs w:val="28"/>
        </w:rPr>
        <w:t xml:space="preserve">, cross-border M&amp;A is becoming more demanding, more regulated, and more interconnected. The most successful dealmakers will be those who invest in thorough preparation, cultural intelligence, and advanced risk management. Opportunities remain abundant, but they </w:t>
      </w:r>
      <w:proofErr w:type="spellStart"/>
      <w:r w:rsidRPr="00EF4A04">
        <w:rPr>
          <w:rFonts w:ascii="Tahoma" w:hAnsi="Tahoma" w:cs="Tahoma"/>
          <w:sz w:val="28"/>
          <w:szCs w:val="28"/>
        </w:rPr>
        <w:t>favor</w:t>
      </w:r>
      <w:proofErr w:type="spellEnd"/>
      <w:r w:rsidRPr="00EF4A04">
        <w:rPr>
          <w:rFonts w:ascii="Tahoma" w:hAnsi="Tahoma" w:cs="Tahoma"/>
          <w:sz w:val="28"/>
          <w:szCs w:val="28"/>
        </w:rPr>
        <w:t xml:space="preserve"> those prepared to approach complexity with agility and foresight.</w:t>
      </w:r>
    </w:p>
    <w:p w14:paraId="14B6A4AF" w14:textId="77777777" w:rsidR="00184B1E" w:rsidRPr="000B0F4B" w:rsidRDefault="00184B1E" w:rsidP="00184B1E">
      <w:pPr>
        <w:spacing w:after="0"/>
        <w:ind w:left="360"/>
        <w:rPr>
          <w:rFonts w:ascii="Tahoma" w:hAnsi="Tahoma" w:cs="Tahoma"/>
          <w:color w:val="0F4761" w:themeColor="accent1" w:themeShade="BF"/>
          <w:sz w:val="28"/>
          <w:szCs w:val="28"/>
        </w:rPr>
      </w:pPr>
      <w:r w:rsidRPr="000B0F4B">
        <w:rPr>
          <w:i/>
          <w:iCs/>
          <w:noProof/>
          <w:color w:val="0F4761" w:themeColor="accent1" w:themeShade="BF"/>
        </w:rPr>
        <w:drawing>
          <wp:anchor distT="0" distB="0" distL="114300" distR="114300" simplePos="0" relativeHeight="251659264" behindDoc="0" locked="0" layoutInCell="1" allowOverlap="1" wp14:anchorId="0E4DF76B" wp14:editId="60198B93">
            <wp:simplePos x="0" y="0"/>
            <wp:positionH relativeFrom="column">
              <wp:posOffset>635</wp:posOffset>
            </wp:positionH>
            <wp:positionV relativeFrom="paragraph">
              <wp:posOffset>120015</wp:posOffset>
            </wp:positionV>
            <wp:extent cx="1022350" cy="1015365"/>
            <wp:effectExtent l="0" t="0" r="6350" b="0"/>
            <wp:wrapSquare wrapText="bothSides"/>
            <wp:docPr id="1027551032"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51032" name="Picture 2" descr="A person in a suit and tie&#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0" cy="1015365"/>
                    </a:xfrm>
                    <a:prstGeom prst="rect">
                      <a:avLst/>
                    </a:prstGeom>
                    <a:noFill/>
                  </pic:spPr>
                </pic:pic>
              </a:graphicData>
            </a:graphic>
          </wp:anchor>
        </w:drawing>
      </w:r>
    </w:p>
    <w:p w14:paraId="3DD87A9B" w14:textId="77777777" w:rsidR="00184B1E" w:rsidRPr="00184B1E" w:rsidRDefault="00184B1E" w:rsidP="00184B1E">
      <w:pPr>
        <w:spacing w:after="0"/>
        <w:rPr>
          <w:rFonts w:ascii="Tahoma" w:hAnsi="Tahoma" w:cs="Tahoma"/>
          <w:i/>
          <w:iCs/>
          <w:lang w:val="pt-PT"/>
        </w:rPr>
      </w:pPr>
      <w:r w:rsidRPr="00184B1E">
        <w:rPr>
          <w:rFonts w:ascii="Tahoma" w:hAnsi="Tahoma" w:cs="Tahoma"/>
          <w:i/>
          <w:iCs/>
          <w:lang w:val="pt-PT"/>
        </w:rPr>
        <w:t>Gundo Kahle, CEO</w:t>
      </w:r>
    </w:p>
    <w:p w14:paraId="34E46C84" w14:textId="77777777" w:rsidR="00184B1E" w:rsidRPr="00184B1E" w:rsidRDefault="00184B1E" w:rsidP="00184B1E">
      <w:pPr>
        <w:spacing w:after="0"/>
        <w:rPr>
          <w:rFonts w:ascii="Tahoma" w:hAnsi="Tahoma" w:cs="Tahoma"/>
          <w:i/>
          <w:iCs/>
          <w:lang w:val="pt-PT"/>
        </w:rPr>
      </w:pPr>
      <w:r w:rsidRPr="00184B1E">
        <w:rPr>
          <w:rFonts w:ascii="Tahoma" w:hAnsi="Tahoma" w:cs="Tahoma"/>
          <w:i/>
          <w:iCs/>
          <w:lang w:val="pt-PT"/>
        </w:rPr>
        <w:t>Cross Border Associates</w:t>
      </w:r>
    </w:p>
    <w:p w14:paraId="3A23E67C" w14:textId="77777777" w:rsidR="00184B1E" w:rsidRPr="000B0F4B" w:rsidRDefault="00184B1E" w:rsidP="00184B1E">
      <w:pPr>
        <w:spacing w:after="0"/>
        <w:rPr>
          <w:rFonts w:ascii="Tahoma" w:hAnsi="Tahoma" w:cs="Tahoma"/>
          <w:color w:val="153D63" w:themeColor="text2" w:themeTint="E6"/>
          <w:sz w:val="28"/>
          <w:szCs w:val="28"/>
          <w:lang w:val="pt-PT"/>
        </w:rPr>
      </w:pPr>
    </w:p>
    <w:p w14:paraId="3E7E4BE6" w14:textId="77777777" w:rsidR="00624F50" w:rsidRPr="00184B1E" w:rsidRDefault="00624F50" w:rsidP="00EF4A04">
      <w:pPr>
        <w:rPr>
          <w:rFonts w:ascii="Tahoma" w:hAnsi="Tahoma" w:cs="Tahoma"/>
          <w:sz w:val="28"/>
          <w:szCs w:val="28"/>
          <w:lang w:val="pt-PT"/>
        </w:rPr>
      </w:pPr>
    </w:p>
    <w:sectPr w:rsidR="00624F50" w:rsidRPr="00184B1E" w:rsidSect="00EF4A04">
      <w:pgSz w:w="11906" w:h="16838"/>
      <w:pgMar w:top="540" w:right="566" w:bottom="144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BBA"/>
    <w:multiLevelType w:val="multilevel"/>
    <w:tmpl w:val="E14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032B"/>
    <w:multiLevelType w:val="multilevel"/>
    <w:tmpl w:val="54B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71CCA"/>
    <w:multiLevelType w:val="multilevel"/>
    <w:tmpl w:val="4858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E4B9F"/>
    <w:multiLevelType w:val="multilevel"/>
    <w:tmpl w:val="A624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10750"/>
    <w:multiLevelType w:val="multilevel"/>
    <w:tmpl w:val="5F32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013B0"/>
    <w:multiLevelType w:val="multilevel"/>
    <w:tmpl w:val="FD46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883309">
    <w:abstractNumId w:val="0"/>
  </w:num>
  <w:num w:numId="2" w16cid:durableId="1897819207">
    <w:abstractNumId w:val="3"/>
  </w:num>
  <w:num w:numId="3" w16cid:durableId="2029409380">
    <w:abstractNumId w:val="2"/>
  </w:num>
  <w:num w:numId="4" w16cid:durableId="579095449">
    <w:abstractNumId w:val="4"/>
  </w:num>
  <w:num w:numId="5" w16cid:durableId="1405906297">
    <w:abstractNumId w:val="5"/>
  </w:num>
  <w:num w:numId="6" w16cid:durableId="18540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04"/>
    <w:rsid w:val="00184B1E"/>
    <w:rsid w:val="001B2FBA"/>
    <w:rsid w:val="004009D4"/>
    <w:rsid w:val="00572545"/>
    <w:rsid w:val="00607AC1"/>
    <w:rsid w:val="00624F50"/>
    <w:rsid w:val="00686BE4"/>
    <w:rsid w:val="009363FD"/>
    <w:rsid w:val="00AC3BFD"/>
    <w:rsid w:val="00CB3773"/>
    <w:rsid w:val="00EF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B597"/>
  <w15:chartTrackingRefBased/>
  <w15:docId w15:val="{B814D79F-BB90-4897-B66D-B54190FC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A04"/>
    <w:rPr>
      <w:rFonts w:eastAsiaTheme="majorEastAsia" w:cstheme="majorBidi"/>
      <w:color w:val="272727" w:themeColor="text1" w:themeTint="D8"/>
    </w:rPr>
  </w:style>
  <w:style w:type="paragraph" w:styleId="Title">
    <w:name w:val="Title"/>
    <w:basedOn w:val="Normal"/>
    <w:next w:val="Normal"/>
    <w:link w:val="TitleChar"/>
    <w:uiPriority w:val="10"/>
    <w:qFormat/>
    <w:rsid w:val="00EF4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A04"/>
    <w:pPr>
      <w:spacing w:before="160"/>
      <w:jc w:val="center"/>
    </w:pPr>
    <w:rPr>
      <w:i/>
      <w:iCs/>
      <w:color w:val="404040" w:themeColor="text1" w:themeTint="BF"/>
    </w:rPr>
  </w:style>
  <w:style w:type="character" w:customStyle="1" w:styleId="QuoteChar">
    <w:name w:val="Quote Char"/>
    <w:basedOn w:val="DefaultParagraphFont"/>
    <w:link w:val="Quote"/>
    <w:uiPriority w:val="29"/>
    <w:rsid w:val="00EF4A04"/>
    <w:rPr>
      <w:i/>
      <w:iCs/>
      <w:color w:val="404040" w:themeColor="text1" w:themeTint="BF"/>
    </w:rPr>
  </w:style>
  <w:style w:type="paragraph" w:styleId="ListParagraph">
    <w:name w:val="List Paragraph"/>
    <w:basedOn w:val="Normal"/>
    <w:uiPriority w:val="34"/>
    <w:qFormat/>
    <w:rsid w:val="00EF4A04"/>
    <w:pPr>
      <w:ind w:left="720"/>
      <w:contextualSpacing/>
    </w:pPr>
  </w:style>
  <w:style w:type="character" w:styleId="IntenseEmphasis">
    <w:name w:val="Intense Emphasis"/>
    <w:basedOn w:val="DefaultParagraphFont"/>
    <w:uiPriority w:val="21"/>
    <w:qFormat/>
    <w:rsid w:val="00EF4A04"/>
    <w:rPr>
      <w:i/>
      <w:iCs/>
      <w:color w:val="0F4761" w:themeColor="accent1" w:themeShade="BF"/>
    </w:rPr>
  </w:style>
  <w:style w:type="paragraph" w:styleId="IntenseQuote">
    <w:name w:val="Intense Quote"/>
    <w:basedOn w:val="Normal"/>
    <w:next w:val="Normal"/>
    <w:link w:val="IntenseQuoteChar"/>
    <w:uiPriority w:val="30"/>
    <w:qFormat/>
    <w:rsid w:val="00EF4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A04"/>
    <w:rPr>
      <w:i/>
      <w:iCs/>
      <w:color w:val="0F4761" w:themeColor="accent1" w:themeShade="BF"/>
    </w:rPr>
  </w:style>
  <w:style w:type="character" w:styleId="IntenseReference">
    <w:name w:val="Intense Reference"/>
    <w:basedOn w:val="DefaultParagraphFont"/>
    <w:uiPriority w:val="32"/>
    <w:qFormat/>
    <w:rsid w:val="00EF4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9d3b22-a9e8-4507-974a-2a8c0e45ed91">
      <Terms xmlns="http://schemas.microsoft.com/office/infopath/2007/PartnerControls"/>
    </lcf76f155ced4ddcb4097134ff3c332f>
    <TaxCatchAll xmlns="e30261cf-abf3-484f-a77d-bf591b3126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FEB2BB56F784CAE424BE07525571D" ma:contentTypeVersion="15" ma:contentTypeDescription="Create a new document." ma:contentTypeScope="" ma:versionID="8fc1a059bff836fb1584edb1e5aee887">
  <xsd:schema xmlns:xsd="http://www.w3.org/2001/XMLSchema" xmlns:xs="http://www.w3.org/2001/XMLSchema" xmlns:p="http://schemas.microsoft.com/office/2006/metadata/properties" xmlns:ns2="da9d3b22-a9e8-4507-974a-2a8c0e45ed91" xmlns:ns3="e30261cf-abf3-484f-a77d-bf591b31264e" targetNamespace="http://schemas.microsoft.com/office/2006/metadata/properties" ma:root="true" ma:fieldsID="b029cf6fefbc17cb5fccf1efbf885c96" ns2:_="" ns3:_="">
    <xsd:import namespace="da9d3b22-a9e8-4507-974a-2a8c0e45ed91"/>
    <xsd:import namespace="e30261cf-abf3-484f-a77d-bf591b312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3b22-a9e8-4507-974a-2a8c0e45e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1a394d-a167-49eb-a3ee-98bd985463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261cf-abf3-484f-a77d-bf591b3126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9462b3-c47c-4ce1-a690-0d0bac6b1ada}" ma:internalName="TaxCatchAll" ma:showField="CatchAllData" ma:web="e30261cf-abf3-484f-a77d-bf591b3126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CAD57-B4A8-48C1-9EED-0D4E28CB6260}">
  <ds:schemaRefs>
    <ds:schemaRef ds:uri="http://schemas.microsoft.com/office/2006/metadata/properties"/>
    <ds:schemaRef ds:uri="http://schemas.microsoft.com/office/infopath/2007/PartnerControls"/>
    <ds:schemaRef ds:uri="da9d3b22-a9e8-4507-974a-2a8c0e45ed91"/>
    <ds:schemaRef ds:uri="e30261cf-abf3-484f-a77d-bf591b31264e"/>
  </ds:schemaRefs>
</ds:datastoreItem>
</file>

<file path=customXml/itemProps2.xml><?xml version="1.0" encoding="utf-8"?>
<ds:datastoreItem xmlns:ds="http://schemas.openxmlformats.org/officeDocument/2006/customXml" ds:itemID="{6E73CD5C-9B1D-4269-B780-B0C6F2E1A4FF}">
  <ds:schemaRefs>
    <ds:schemaRef ds:uri="http://schemas.microsoft.com/sharepoint/v3/contenttype/forms"/>
  </ds:schemaRefs>
</ds:datastoreItem>
</file>

<file path=customXml/itemProps3.xml><?xml version="1.0" encoding="utf-8"?>
<ds:datastoreItem xmlns:ds="http://schemas.openxmlformats.org/officeDocument/2006/customXml" ds:itemID="{73D1525B-71EC-46D4-87E8-7AD10C14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d3b22-a9e8-4507-974a-2a8c0e45ed91"/>
    <ds:schemaRef ds:uri="e30261cf-abf3-484f-a77d-bf591b3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4168</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Gundo Kahle</dc:creator>
  <cp:keywords/>
  <dc:description/>
  <cp:lastModifiedBy>Dominic Zingale</cp:lastModifiedBy>
  <cp:revision>3</cp:revision>
  <dcterms:created xsi:type="dcterms:W3CDTF">2025-11-11T18:10:00Z</dcterms:created>
  <dcterms:modified xsi:type="dcterms:W3CDTF">2025-11-11T18:29:00Z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0x0101003E0FEB2BB56F784CAE424BE07525571D</vt:lpwstr>
  </property>
  <property fmtid="{D5CDD505-2E9C-101B-9397-08002B2CF9AE}" pid="3" name="MediaServiceImageTags">
    <vt:lpwstr/>
  </property>
</Properties>
</file>