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57F0A" w14:textId="77777777" w:rsidR="006F209C" w:rsidRPr="00D6686B" w:rsidRDefault="006F209C" w:rsidP="006F209C">
      <w:pPr>
        <w:spacing w:after="0" w:line="240" w:lineRule="auto"/>
        <w:rPr>
          <w:rFonts w:ascii="Tahoma" w:hAnsi="Tahoma" w:cs="Tahoma"/>
          <w:sz w:val="32"/>
          <w:szCs w:val="32"/>
          <w:u w:val="single"/>
        </w:rPr>
      </w:pPr>
      <w:r w:rsidRPr="00D6686B">
        <w:rPr>
          <w:rFonts w:ascii="Tahoma" w:hAnsi="Tahoma" w:cs="Tahoma"/>
          <w:sz w:val="32"/>
          <w:szCs w:val="32"/>
          <w:u w:val="single"/>
        </w:rPr>
        <w:t xml:space="preserve">Beyond the price tag: </w:t>
      </w:r>
    </w:p>
    <w:p w14:paraId="41778D08" w14:textId="4231654A" w:rsidR="006F209C" w:rsidRPr="002A2645" w:rsidRDefault="006F209C" w:rsidP="006F209C">
      <w:pPr>
        <w:spacing w:after="0" w:line="240" w:lineRule="auto"/>
        <w:rPr>
          <w:rFonts w:ascii="Tahoma" w:hAnsi="Tahoma" w:cs="Tahoma"/>
          <w:sz w:val="52"/>
          <w:szCs w:val="52"/>
        </w:rPr>
      </w:pPr>
      <w:r w:rsidRPr="002A2645">
        <w:rPr>
          <w:rFonts w:ascii="Tahoma" w:hAnsi="Tahoma" w:cs="Tahoma"/>
          <w:sz w:val="52"/>
          <w:szCs w:val="52"/>
        </w:rPr>
        <w:t>The real cost of buying on finance</w:t>
      </w:r>
      <w:r w:rsidR="00B6262A">
        <w:rPr>
          <w:rFonts w:ascii="Tahoma" w:hAnsi="Tahoma" w:cs="Tahoma"/>
          <w:sz w:val="52"/>
          <w:szCs w:val="52"/>
        </w:rPr>
        <w:t>,</w:t>
      </w:r>
      <w:r w:rsidRPr="002A2645">
        <w:rPr>
          <w:rFonts w:ascii="Tahoma" w:hAnsi="Tahoma" w:cs="Tahoma"/>
          <w:sz w:val="52"/>
          <w:szCs w:val="52"/>
        </w:rPr>
        <w:t xml:space="preserve"> and how sale and leaseback can set capital free</w:t>
      </w:r>
    </w:p>
    <w:p w14:paraId="226A430D" w14:textId="4602A6E5" w:rsidR="006F209C" w:rsidRPr="006F209C" w:rsidRDefault="006F209C" w:rsidP="006F209C">
      <w:pPr>
        <w:rPr>
          <w:rFonts w:ascii="Tahoma" w:hAnsi="Tahoma" w:cs="Tahoma"/>
          <w:sz w:val="8"/>
          <w:szCs w:val="8"/>
        </w:rPr>
      </w:pPr>
      <w:r w:rsidRPr="006F209C">
        <w:rPr>
          <w:rFonts w:ascii="Tahoma" w:hAnsi="Tahoma" w:cs="Tahoma"/>
          <w:i/>
          <w:iCs/>
          <w:noProof/>
          <w:sz w:val="24"/>
          <w:szCs w:val="24"/>
        </w:rPr>
        <w:drawing>
          <wp:anchor distT="0" distB="0" distL="114300" distR="114300" simplePos="0" relativeHeight="251659264" behindDoc="0" locked="0" layoutInCell="1" allowOverlap="1" wp14:anchorId="0E2C208E" wp14:editId="5BDA6CE9">
            <wp:simplePos x="0" y="0"/>
            <wp:positionH relativeFrom="column">
              <wp:posOffset>0</wp:posOffset>
            </wp:positionH>
            <wp:positionV relativeFrom="paragraph">
              <wp:posOffset>104140</wp:posOffset>
            </wp:positionV>
            <wp:extent cx="796925" cy="1050925"/>
            <wp:effectExtent l="0" t="0" r="3175" b="0"/>
            <wp:wrapSquare wrapText="bothSides"/>
            <wp:docPr id="1526807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07509" name="Picture 1526807509"/>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6925" cy="1050925"/>
                    </a:xfrm>
                    <a:prstGeom prst="rect">
                      <a:avLst/>
                    </a:prstGeom>
                  </pic:spPr>
                </pic:pic>
              </a:graphicData>
            </a:graphic>
          </wp:anchor>
        </w:drawing>
      </w:r>
    </w:p>
    <w:p w14:paraId="5F6ABA38" w14:textId="6AE09D62" w:rsidR="006F209C" w:rsidRPr="006F209C" w:rsidRDefault="006F209C" w:rsidP="006F209C">
      <w:pPr>
        <w:rPr>
          <w:rFonts w:ascii="Tahoma" w:hAnsi="Tahoma" w:cs="Tahoma"/>
          <w:i/>
          <w:iCs/>
          <w:sz w:val="24"/>
          <w:szCs w:val="24"/>
        </w:rPr>
      </w:pPr>
      <w:r w:rsidRPr="006F209C">
        <w:rPr>
          <w:rFonts w:ascii="Tahoma" w:hAnsi="Tahoma" w:cs="Tahoma"/>
          <w:i/>
          <w:iCs/>
          <w:sz w:val="24"/>
          <w:szCs w:val="24"/>
        </w:rPr>
        <w:t xml:space="preserve">By Gundo Kahle, CEO Cross Border Associates, talks about covering the hidden cost stack behind financed purchases (interest, fees, deposits, insurance, opportunity cost) and how sale and leaseback free up capital tied up in owned assets, with the security resting on the asset itself rather than the buyer's credit history. </w:t>
      </w:r>
    </w:p>
    <w:p w14:paraId="450D377A" w14:textId="77777777" w:rsidR="006F209C" w:rsidRDefault="006F209C" w:rsidP="006F209C">
      <w:pPr>
        <w:spacing w:line="240" w:lineRule="auto"/>
        <w:jc w:val="both"/>
        <w:rPr>
          <w:rFonts w:ascii="Tahoma" w:hAnsi="Tahoma" w:cs="Tahoma"/>
          <w:sz w:val="24"/>
          <w:szCs w:val="24"/>
        </w:rPr>
      </w:pPr>
    </w:p>
    <w:p w14:paraId="619B06B6" w14:textId="7F102B5D"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When a business sets out to acquire a new piece of equipment, a fleet vehicle, or a piece of machinery, it's natural to focus on one number: the purchase price. But for any buyer who finances that purchase rather than paying cash outright, the sticker price is only the opening figure in a much longer sum. By the time the deal is signed, delivered, and running, the true cost of ownership can look very different</w:t>
      </w:r>
      <w:r w:rsidR="00B6262A">
        <w:rPr>
          <w:rFonts w:ascii="Tahoma" w:hAnsi="Tahoma" w:cs="Tahoma"/>
          <w:sz w:val="24"/>
          <w:szCs w:val="24"/>
        </w:rPr>
        <w:t>,</w:t>
      </w:r>
      <w:r w:rsidRPr="006F209C">
        <w:rPr>
          <w:rFonts w:ascii="Tahoma" w:hAnsi="Tahoma" w:cs="Tahoma"/>
          <w:sz w:val="24"/>
          <w:szCs w:val="24"/>
        </w:rPr>
        <w:t xml:space="preserve"> and understanding why the first step is toward using finance intelligently rather than being caught out by it.</w:t>
      </w:r>
    </w:p>
    <w:p w14:paraId="135D6EC7" w14:textId="77777777" w:rsidR="006F209C" w:rsidRPr="006F209C" w:rsidRDefault="006F209C" w:rsidP="006F209C">
      <w:pPr>
        <w:spacing w:line="240" w:lineRule="auto"/>
        <w:jc w:val="both"/>
        <w:rPr>
          <w:rFonts w:ascii="Tahoma" w:hAnsi="Tahoma" w:cs="Tahoma"/>
          <w:b/>
          <w:bCs/>
          <w:sz w:val="24"/>
          <w:szCs w:val="24"/>
        </w:rPr>
      </w:pPr>
      <w:r w:rsidRPr="006F209C">
        <w:rPr>
          <w:rFonts w:ascii="Tahoma" w:hAnsi="Tahoma" w:cs="Tahoma"/>
          <w:b/>
          <w:bCs/>
          <w:sz w:val="24"/>
          <w:szCs w:val="24"/>
        </w:rPr>
        <w:t>The iceberg beneath the purchase price</w:t>
      </w:r>
    </w:p>
    <w:p w14:paraId="026F8909"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Finance agreements are built around more than the capital cost of the asset. Layered on top are:</w:t>
      </w:r>
    </w:p>
    <w:p w14:paraId="0BE8CF5A"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b/>
          <w:bCs/>
          <w:sz w:val="24"/>
          <w:szCs w:val="24"/>
        </w:rPr>
        <w:t>Interest and cost of borrowing.</w:t>
      </w:r>
      <w:r w:rsidRPr="006F209C">
        <w:rPr>
          <w:rFonts w:ascii="Tahoma" w:hAnsi="Tahoma" w:cs="Tahoma"/>
          <w:sz w:val="24"/>
          <w:szCs w:val="24"/>
        </w:rPr>
        <w:t xml:space="preserve"> This is the most obvious addition, but its size depends heavily on the term, the structure of the agreement, and the buyer's credit profile. A longer term lowers monthly payments but increases the total interest paid over the life of the deal.</w:t>
      </w:r>
    </w:p>
    <w:p w14:paraId="7D676232"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b/>
          <w:bCs/>
          <w:sz w:val="24"/>
          <w:szCs w:val="24"/>
        </w:rPr>
        <w:t>Arrangement and documentation fees.</w:t>
      </w:r>
      <w:r w:rsidRPr="006F209C">
        <w:rPr>
          <w:rFonts w:ascii="Tahoma" w:hAnsi="Tahoma" w:cs="Tahoma"/>
          <w:sz w:val="24"/>
          <w:szCs w:val="24"/>
        </w:rPr>
        <w:t xml:space="preserve"> Lenders typically charge for setting up the facility, conducting due diligence, and drafting the agreement. These fees are sometimes rolled into the finance amount, quietly increasing the sum on which interest is then charged.</w:t>
      </w:r>
    </w:p>
    <w:p w14:paraId="022F1956"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b/>
          <w:bCs/>
          <w:sz w:val="24"/>
          <w:szCs w:val="24"/>
        </w:rPr>
        <w:t>Deposits and initial payments.</w:t>
      </w:r>
      <w:r w:rsidRPr="006F209C">
        <w:rPr>
          <w:rFonts w:ascii="Tahoma" w:hAnsi="Tahoma" w:cs="Tahoma"/>
          <w:sz w:val="24"/>
          <w:szCs w:val="24"/>
        </w:rPr>
        <w:t xml:space="preserve"> Many agreements require an upfront contribution, which ties up cash at the very moment the buyer is trying to preserve it.</w:t>
      </w:r>
    </w:p>
    <w:p w14:paraId="63EBA246" w14:textId="4AA883B6" w:rsidR="006F209C" w:rsidRPr="006F209C" w:rsidRDefault="006F209C" w:rsidP="006F209C">
      <w:pPr>
        <w:spacing w:line="240" w:lineRule="auto"/>
        <w:jc w:val="both"/>
        <w:rPr>
          <w:rFonts w:ascii="Tahoma" w:hAnsi="Tahoma" w:cs="Tahoma"/>
          <w:sz w:val="24"/>
          <w:szCs w:val="24"/>
        </w:rPr>
      </w:pPr>
      <w:r w:rsidRPr="006F209C">
        <w:rPr>
          <w:rFonts w:ascii="Tahoma" w:hAnsi="Tahoma" w:cs="Tahoma"/>
          <w:b/>
          <w:bCs/>
          <w:sz w:val="24"/>
          <w:szCs w:val="24"/>
        </w:rPr>
        <w:t>Insurance and maintenance obligations.</w:t>
      </w:r>
      <w:r w:rsidRPr="006F209C">
        <w:rPr>
          <w:rFonts w:ascii="Tahoma" w:hAnsi="Tahoma" w:cs="Tahoma"/>
          <w:sz w:val="24"/>
          <w:szCs w:val="24"/>
        </w:rPr>
        <w:t xml:space="preserve"> Financed assets, particularly under certain lease structures, often come with mandatory insurance cover and maintenance conditions to protect the asset's value</w:t>
      </w:r>
      <w:r w:rsidR="00B6262A">
        <w:rPr>
          <w:rFonts w:ascii="Tahoma" w:hAnsi="Tahoma" w:cs="Tahoma"/>
          <w:sz w:val="24"/>
          <w:szCs w:val="24"/>
        </w:rPr>
        <w:t>, and</w:t>
      </w:r>
      <w:r w:rsidRPr="006F209C">
        <w:rPr>
          <w:rFonts w:ascii="Tahoma" w:hAnsi="Tahoma" w:cs="Tahoma"/>
          <w:sz w:val="24"/>
          <w:szCs w:val="24"/>
        </w:rPr>
        <w:t xml:space="preserve"> costs that sit</w:t>
      </w:r>
      <w:r w:rsidR="00B6262A">
        <w:rPr>
          <w:rFonts w:ascii="Tahoma" w:hAnsi="Tahoma" w:cs="Tahoma"/>
          <w:sz w:val="24"/>
          <w:szCs w:val="24"/>
        </w:rPr>
        <w:t>s</w:t>
      </w:r>
      <w:r w:rsidRPr="006F209C">
        <w:rPr>
          <w:rFonts w:ascii="Tahoma" w:hAnsi="Tahoma" w:cs="Tahoma"/>
          <w:sz w:val="24"/>
          <w:szCs w:val="24"/>
        </w:rPr>
        <w:t xml:space="preserve"> outside the headline finance rate.</w:t>
      </w:r>
    </w:p>
    <w:p w14:paraId="61BD53D0"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b/>
          <w:bCs/>
          <w:sz w:val="24"/>
          <w:szCs w:val="24"/>
        </w:rPr>
        <w:t>Early settlement and exit costs.</w:t>
      </w:r>
      <w:r w:rsidRPr="006F209C">
        <w:rPr>
          <w:rFonts w:ascii="Tahoma" w:hAnsi="Tahoma" w:cs="Tahoma"/>
          <w:sz w:val="24"/>
          <w:szCs w:val="24"/>
        </w:rPr>
        <w:t xml:space="preserve"> If circumstances change and the buyer wants to repay early or exit the agreement, penalty charges can apply, reducing the flexibility the finance was meant to provide.</w:t>
      </w:r>
    </w:p>
    <w:p w14:paraId="31E44E63" w14:textId="13018F96" w:rsidR="006F209C" w:rsidRPr="006F209C" w:rsidRDefault="006F209C" w:rsidP="006F209C">
      <w:pPr>
        <w:spacing w:line="240" w:lineRule="auto"/>
        <w:jc w:val="both"/>
        <w:rPr>
          <w:rFonts w:ascii="Tahoma" w:hAnsi="Tahoma" w:cs="Tahoma"/>
          <w:sz w:val="24"/>
          <w:szCs w:val="24"/>
        </w:rPr>
      </w:pPr>
      <w:r w:rsidRPr="006F209C">
        <w:rPr>
          <w:rFonts w:ascii="Tahoma" w:hAnsi="Tahoma" w:cs="Tahoma"/>
          <w:b/>
          <w:bCs/>
          <w:sz w:val="24"/>
          <w:szCs w:val="24"/>
        </w:rPr>
        <w:t>Opportunity cost.</w:t>
      </w:r>
      <w:r w:rsidRPr="006F209C">
        <w:rPr>
          <w:rFonts w:ascii="Tahoma" w:hAnsi="Tahoma" w:cs="Tahoma"/>
          <w:sz w:val="24"/>
          <w:szCs w:val="24"/>
        </w:rPr>
        <w:t xml:space="preserve"> Perhaps the least visible cost of all: the capital committed to a deposit or held as security is capital that cannot be deployed elsewhere in the business</w:t>
      </w:r>
      <w:r w:rsidR="00B6262A">
        <w:rPr>
          <w:rFonts w:ascii="Tahoma" w:hAnsi="Tahoma" w:cs="Tahoma"/>
          <w:sz w:val="24"/>
          <w:szCs w:val="24"/>
        </w:rPr>
        <w:t>,</w:t>
      </w:r>
      <w:r w:rsidRPr="006F209C">
        <w:rPr>
          <w:rFonts w:ascii="Tahoma" w:hAnsi="Tahoma" w:cs="Tahoma"/>
          <w:sz w:val="24"/>
          <w:szCs w:val="24"/>
        </w:rPr>
        <w:t xml:space="preserve"> whether that's stock, staff, marketing, or growth opportunities.</w:t>
      </w:r>
    </w:p>
    <w:p w14:paraId="1EA00009"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Add these together and it becomes clear why two finance quotes with the same headline rate can produce very different outcomes. The purchase price is the starting point of the conversation, not the end of it.</w:t>
      </w:r>
    </w:p>
    <w:p w14:paraId="7B2E2B76" w14:textId="27161465" w:rsidR="006F209C" w:rsidRPr="006F209C" w:rsidRDefault="006F209C" w:rsidP="006F209C">
      <w:pPr>
        <w:spacing w:line="240" w:lineRule="auto"/>
        <w:jc w:val="both"/>
        <w:rPr>
          <w:rFonts w:ascii="Tahoma" w:hAnsi="Tahoma" w:cs="Tahoma"/>
          <w:b/>
          <w:bCs/>
          <w:sz w:val="24"/>
          <w:szCs w:val="24"/>
        </w:rPr>
      </w:pPr>
      <w:r w:rsidRPr="006F209C">
        <w:rPr>
          <w:rFonts w:ascii="Tahoma" w:hAnsi="Tahoma" w:cs="Tahoma"/>
          <w:b/>
          <w:bCs/>
          <w:sz w:val="24"/>
          <w:szCs w:val="24"/>
        </w:rPr>
        <w:lastRenderedPageBreak/>
        <w:t>The cash flow problem this creates</w:t>
      </w:r>
    </w:p>
    <w:p w14:paraId="35465809" w14:textId="1D77D80B"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For many businesses, the issue isn't whether they can eventually afford an asset</w:t>
      </w:r>
      <w:r w:rsidR="00B6262A">
        <w:rPr>
          <w:rFonts w:ascii="Tahoma" w:hAnsi="Tahoma" w:cs="Tahoma"/>
          <w:sz w:val="24"/>
          <w:szCs w:val="24"/>
        </w:rPr>
        <w:t xml:space="preserve">, </w:t>
      </w:r>
      <w:r w:rsidRPr="006F209C">
        <w:rPr>
          <w:rFonts w:ascii="Tahoma" w:hAnsi="Tahoma" w:cs="Tahoma"/>
          <w:sz w:val="24"/>
          <w:szCs w:val="24"/>
        </w:rPr>
        <w:t xml:space="preserve">it's whether they can afford the combined weight of deposit, fees, and repayments </w:t>
      </w:r>
      <w:r w:rsidRPr="006F209C">
        <w:rPr>
          <w:rFonts w:ascii="Tahoma" w:hAnsi="Tahoma" w:cs="Tahoma"/>
          <w:i/>
          <w:iCs/>
          <w:sz w:val="24"/>
          <w:szCs w:val="24"/>
        </w:rPr>
        <w:t>right now</w:t>
      </w:r>
      <w:r w:rsidRPr="006F209C">
        <w:rPr>
          <w:rFonts w:ascii="Tahoma" w:hAnsi="Tahoma" w:cs="Tahoma"/>
          <w:sz w:val="24"/>
          <w:szCs w:val="24"/>
        </w:rPr>
        <w:t>, without starving other parts of the business of working capital. This is especially acute for businesses that are asset-rich but cash-poor: they may own valuable equipment, vehicles, or property outright, yet still struggle to fund day-to-day operations or new investment.</w:t>
      </w:r>
    </w:p>
    <w:p w14:paraId="66AC2902" w14:textId="77777777" w:rsidR="006F209C" w:rsidRPr="006F209C" w:rsidRDefault="006F209C" w:rsidP="006F209C">
      <w:pPr>
        <w:spacing w:line="240" w:lineRule="auto"/>
        <w:jc w:val="both"/>
        <w:rPr>
          <w:rFonts w:ascii="Tahoma" w:hAnsi="Tahoma" w:cs="Tahoma"/>
          <w:b/>
          <w:bCs/>
          <w:sz w:val="24"/>
          <w:szCs w:val="24"/>
        </w:rPr>
      </w:pPr>
      <w:r w:rsidRPr="006F209C">
        <w:rPr>
          <w:rFonts w:ascii="Tahoma" w:hAnsi="Tahoma" w:cs="Tahoma"/>
          <w:b/>
          <w:bCs/>
          <w:sz w:val="24"/>
          <w:szCs w:val="24"/>
        </w:rPr>
        <w:t>Sale and Leaseback: unlocking what you already own</w:t>
      </w:r>
    </w:p>
    <w:p w14:paraId="75AE2676"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This is where a sale and leaseback arrangement offers a genuinely different approach.</w:t>
      </w:r>
    </w:p>
    <w:p w14:paraId="35067CEC" w14:textId="400F1B00"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In simple terms, a business sells an asset it already owns</w:t>
      </w:r>
      <w:r w:rsidR="00B6262A">
        <w:rPr>
          <w:rFonts w:ascii="Tahoma" w:hAnsi="Tahoma" w:cs="Tahoma"/>
          <w:sz w:val="24"/>
          <w:szCs w:val="24"/>
        </w:rPr>
        <w:t xml:space="preserve"> such as </w:t>
      </w:r>
      <w:r w:rsidRPr="006F209C">
        <w:rPr>
          <w:rFonts w:ascii="Tahoma" w:hAnsi="Tahoma" w:cs="Tahoma"/>
          <w:sz w:val="24"/>
          <w:szCs w:val="24"/>
        </w:rPr>
        <w:t>machinery, vehicles, equipment, even property</w:t>
      </w:r>
      <w:r w:rsidR="00B6262A">
        <w:rPr>
          <w:rFonts w:ascii="Tahoma" w:hAnsi="Tahoma" w:cs="Tahoma"/>
          <w:sz w:val="24"/>
          <w:szCs w:val="24"/>
        </w:rPr>
        <w:t xml:space="preserve">, </w:t>
      </w:r>
      <w:r w:rsidRPr="006F209C">
        <w:rPr>
          <w:rFonts w:ascii="Tahoma" w:hAnsi="Tahoma" w:cs="Tahoma"/>
          <w:sz w:val="24"/>
          <w:szCs w:val="24"/>
        </w:rPr>
        <w:t>to a finance company, receiving an immediate lump sum equal to the asset's value. The business then leases that same asset back from the finance company, continuing to use it exactly as before, uninterrupted, while making regular lease payments.</w:t>
      </w:r>
    </w:p>
    <w:p w14:paraId="54F32D8B" w14:textId="77CCC923"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 xml:space="preserve">The effect is powerful: capital that was sitting idle, locked inside an owned asset, is converted into liquid cash that can be redeployed </w:t>
      </w:r>
      <w:r w:rsidR="00B6262A" w:rsidRPr="006F209C">
        <w:rPr>
          <w:rFonts w:ascii="Tahoma" w:hAnsi="Tahoma" w:cs="Tahoma"/>
          <w:sz w:val="24"/>
          <w:szCs w:val="24"/>
        </w:rPr>
        <w:t>immediately</w:t>
      </w:r>
      <w:r w:rsidR="00B6262A">
        <w:rPr>
          <w:rFonts w:ascii="Tahoma" w:hAnsi="Tahoma" w:cs="Tahoma"/>
          <w:sz w:val="24"/>
          <w:szCs w:val="24"/>
        </w:rPr>
        <w:t xml:space="preserve">, </w:t>
      </w:r>
      <w:r w:rsidR="00B6262A" w:rsidRPr="006F209C">
        <w:rPr>
          <w:rFonts w:ascii="Tahoma" w:hAnsi="Tahoma" w:cs="Tahoma"/>
          <w:sz w:val="24"/>
          <w:szCs w:val="24"/>
        </w:rPr>
        <w:t>to</w:t>
      </w:r>
      <w:r w:rsidRPr="006F209C">
        <w:rPr>
          <w:rFonts w:ascii="Tahoma" w:hAnsi="Tahoma" w:cs="Tahoma"/>
          <w:sz w:val="24"/>
          <w:szCs w:val="24"/>
        </w:rPr>
        <w:t xml:space="preserve"> pay down more expensive debt, fund growth, cover a cash flow gap, or invest in new equipment entirely.</w:t>
      </w:r>
    </w:p>
    <w:p w14:paraId="10271619" w14:textId="77777777" w:rsidR="006F209C" w:rsidRPr="006F209C" w:rsidRDefault="006F209C" w:rsidP="006F209C">
      <w:pPr>
        <w:spacing w:line="240" w:lineRule="auto"/>
        <w:jc w:val="both"/>
        <w:rPr>
          <w:rFonts w:ascii="Tahoma" w:hAnsi="Tahoma" w:cs="Tahoma"/>
          <w:b/>
          <w:bCs/>
          <w:sz w:val="24"/>
          <w:szCs w:val="24"/>
        </w:rPr>
      </w:pPr>
      <w:r w:rsidRPr="006F209C">
        <w:rPr>
          <w:rFonts w:ascii="Tahoma" w:hAnsi="Tahoma" w:cs="Tahoma"/>
          <w:b/>
          <w:bCs/>
          <w:sz w:val="24"/>
          <w:szCs w:val="24"/>
        </w:rPr>
        <w:t>Why creditworthiness matters less here</w:t>
      </w:r>
    </w:p>
    <w:p w14:paraId="46878670"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Conventional lending decisions lean heavily on the borrower's credit history, financial statements, and trading track record. A business with a patchy credit history, a recent loss-making year, or a thin trading record can find doors closing quickly.</w:t>
      </w:r>
    </w:p>
    <w:p w14:paraId="583D49DB"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Sale and Leaseback work differently because the lender's primary security is the asset itself, not the borrower's balance sheet. Because the finance company can recover its position by reclaiming and reselling the underlying equipment or vehicle if payments stop, the arrangement is fundamentally asset-backed rather than credit-backed. What matters most is the value, condition, and marketability of the asset — not a spotless credit file.</w:t>
      </w:r>
    </w:p>
    <w:p w14:paraId="4247483A" w14:textId="77777777"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This doesn't mean creditworthiness is entirely irrelevant; lenders will still want reasonable confidence that the leaseback payments can be maintained. But the bar is materially lower than for unsecured lending or a straightforward purchase loan, which makes sale and leaseback a realistic route for businesses that traditional finance has turned away — including those recovering from a difficult trading period, newer businesses with limited history, or businesses whose credit metrics don't tell the full story of their operational strength.</w:t>
      </w:r>
    </w:p>
    <w:p w14:paraId="43AAA19A" w14:textId="77777777" w:rsidR="006F209C" w:rsidRPr="006F209C" w:rsidRDefault="006F209C" w:rsidP="006F209C">
      <w:pPr>
        <w:spacing w:line="240" w:lineRule="auto"/>
        <w:jc w:val="both"/>
        <w:rPr>
          <w:rFonts w:ascii="Tahoma" w:hAnsi="Tahoma" w:cs="Tahoma"/>
          <w:b/>
          <w:bCs/>
          <w:sz w:val="24"/>
          <w:szCs w:val="24"/>
        </w:rPr>
      </w:pPr>
      <w:r w:rsidRPr="006F209C">
        <w:rPr>
          <w:rFonts w:ascii="Tahoma" w:hAnsi="Tahoma" w:cs="Tahoma"/>
          <w:b/>
          <w:bCs/>
          <w:sz w:val="24"/>
          <w:szCs w:val="24"/>
        </w:rPr>
        <w:t>Putting it together</w:t>
      </w:r>
    </w:p>
    <w:p w14:paraId="04066432" w14:textId="5516D080" w:rsidR="006F209C" w:rsidRPr="006F209C" w:rsidRDefault="006F209C" w:rsidP="006F209C">
      <w:pPr>
        <w:spacing w:line="240" w:lineRule="auto"/>
        <w:jc w:val="both"/>
        <w:rPr>
          <w:rFonts w:ascii="Tahoma" w:hAnsi="Tahoma" w:cs="Tahoma"/>
          <w:sz w:val="24"/>
          <w:szCs w:val="24"/>
        </w:rPr>
      </w:pPr>
      <w:r w:rsidRPr="006F209C">
        <w:rPr>
          <w:rFonts w:ascii="Tahoma" w:hAnsi="Tahoma" w:cs="Tahoma"/>
          <w:sz w:val="24"/>
          <w:szCs w:val="24"/>
        </w:rPr>
        <w:t>The lesson for any buyer arranging finance is twofold. First, look past the purchase price to the full cost stack</w:t>
      </w:r>
      <w:r w:rsidR="00B6262A">
        <w:rPr>
          <w:rFonts w:ascii="Tahoma" w:hAnsi="Tahoma" w:cs="Tahoma"/>
          <w:sz w:val="24"/>
          <w:szCs w:val="24"/>
        </w:rPr>
        <w:t>,</w:t>
      </w:r>
      <w:r w:rsidRPr="006F209C">
        <w:rPr>
          <w:rFonts w:ascii="Tahoma" w:hAnsi="Tahoma" w:cs="Tahoma"/>
          <w:sz w:val="24"/>
          <w:szCs w:val="24"/>
        </w:rPr>
        <w:t xml:space="preserve"> interest, fees, deposits, insurance, and the opportunity cost of committed capital</w:t>
      </w:r>
      <w:r w:rsidR="00B6262A">
        <w:rPr>
          <w:rFonts w:ascii="Tahoma" w:hAnsi="Tahoma" w:cs="Tahoma"/>
          <w:sz w:val="24"/>
          <w:szCs w:val="24"/>
        </w:rPr>
        <w:t>,</w:t>
      </w:r>
      <w:r w:rsidRPr="006F209C">
        <w:rPr>
          <w:rFonts w:ascii="Tahoma" w:hAnsi="Tahoma" w:cs="Tahoma"/>
          <w:sz w:val="24"/>
          <w:szCs w:val="24"/>
        </w:rPr>
        <w:t xml:space="preserve"> before comparing options. Second, remember that owned assets are not just tools of the trade; they are also a source of capital. A sale and leaseback arrangement turns that principle into practice, releasing cash that's otherwise locked away, largely independent of how a lender might view the buyer's credit history on paper.</w:t>
      </w:r>
    </w:p>
    <w:p w14:paraId="6C50C1A7" w14:textId="1E369D3A" w:rsidR="00E61244" w:rsidRPr="00D84DB7" w:rsidRDefault="006F209C" w:rsidP="006F209C">
      <w:pPr>
        <w:spacing w:line="240" w:lineRule="auto"/>
        <w:jc w:val="both"/>
        <w:rPr>
          <w:rFonts w:ascii="Tahoma" w:hAnsi="Tahoma" w:cs="Tahoma"/>
        </w:rPr>
      </w:pPr>
      <w:r w:rsidRPr="006F209C">
        <w:rPr>
          <w:rFonts w:ascii="Tahoma" w:hAnsi="Tahoma" w:cs="Tahoma"/>
          <w:sz w:val="24"/>
          <w:szCs w:val="24"/>
        </w:rPr>
        <w:t>Used well, it's not just a financing technique</w:t>
      </w:r>
      <w:r w:rsidR="00B6262A">
        <w:rPr>
          <w:rFonts w:ascii="Tahoma" w:hAnsi="Tahoma" w:cs="Tahoma"/>
          <w:sz w:val="24"/>
          <w:szCs w:val="24"/>
        </w:rPr>
        <w:t>,</w:t>
      </w:r>
      <w:r w:rsidRPr="006F209C">
        <w:rPr>
          <w:rFonts w:ascii="Tahoma" w:hAnsi="Tahoma" w:cs="Tahoma"/>
          <w:sz w:val="24"/>
          <w:szCs w:val="24"/>
        </w:rPr>
        <w:t xml:space="preserve"> it's a way of seeing the balance sheet differently: as a source of opportunity, not just a record of ownership.</w:t>
      </w:r>
    </w:p>
    <w:sectPr w:rsidR="00E61244" w:rsidRPr="00D84DB7" w:rsidSect="00C51471">
      <w:pgSz w:w="12240" w:h="15840"/>
      <w:pgMar w:top="719" w:right="720" w:bottom="144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C18A0"/>
    <w:multiLevelType w:val="multilevel"/>
    <w:tmpl w:val="BD62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D2BF7"/>
    <w:multiLevelType w:val="multilevel"/>
    <w:tmpl w:val="A8B6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264AB0"/>
    <w:multiLevelType w:val="multilevel"/>
    <w:tmpl w:val="32E2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E475D3"/>
    <w:multiLevelType w:val="hybridMultilevel"/>
    <w:tmpl w:val="EDE614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296564"/>
    <w:multiLevelType w:val="multilevel"/>
    <w:tmpl w:val="EA4A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2675E"/>
    <w:multiLevelType w:val="multilevel"/>
    <w:tmpl w:val="AA70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06810"/>
    <w:multiLevelType w:val="multilevel"/>
    <w:tmpl w:val="D98A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5E2512"/>
    <w:multiLevelType w:val="multilevel"/>
    <w:tmpl w:val="A44A2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3E7BCD"/>
    <w:multiLevelType w:val="multilevel"/>
    <w:tmpl w:val="5FB0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788087">
    <w:abstractNumId w:val="2"/>
  </w:num>
  <w:num w:numId="2" w16cid:durableId="940335958">
    <w:abstractNumId w:val="3"/>
  </w:num>
  <w:num w:numId="3" w16cid:durableId="2014915523">
    <w:abstractNumId w:val="5"/>
  </w:num>
  <w:num w:numId="4" w16cid:durableId="481124282">
    <w:abstractNumId w:val="1"/>
  </w:num>
  <w:num w:numId="5" w16cid:durableId="1674382115">
    <w:abstractNumId w:val="4"/>
  </w:num>
  <w:num w:numId="6" w16cid:durableId="874082914">
    <w:abstractNumId w:val="8"/>
  </w:num>
  <w:num w:numId="7" w16cid:durableId="1300498215">
    <w:abstractNumId w:val="7"/>
  </w:num>
  <w:num w:numId="8" w16cid:durableId="254485008">
    <w:abstractNumId w:val="6"/>
  </w:num>
  <w:num w:numId="9" w16cid:durableId="150412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B7"/>
    <w:rsid w:val="0001722F"/>
    <w:rsid w:val="000307E7"/>
    <w:rsid w:val="000E2A7B"/>
    <w:rsid w:val="001113DA"/>
    <w:rsid w:val="001171CF"/>
    <w:rsid w:val="001732DC"/>
    <w:rsid w:val="001759E2"/>
    <w:rsid w:val="00176732"/>
    <w:rsid w:val="001A2F38"/>
    <w:rsid w:val="001A6473"/>
    <w:rsid w:val="001C37BC"/>
    <w:rsid w:val="001C78B8"/>
    <w:rsid w:val="001F03F4"/>
    <w:rsid w:val="00236F1C"/>
    <w:rsid w:val="00291158"/>
    <w:rsid w:val="00322B6E"/>
    <w:rsid w:val="0034016D"/>
    <w:rsid w:val="0039163F"/>
    <w:rsid w:val="00394DE5"/>
    <w:rsid w:val="003F1275"/>
    <w:rsid w:val="00435B58"/>
    <w:rsid w:val="00442DFD"/>
    <w:rsid w:val="004442AC"/>
    <w:rsid w:val="00496F03"/>
    <w:rsid w:val="004E219A"/>
    <w:rsid w:val="00512A2A"/>
    <w:rsid w:val="005632D9"/>
    <w:rsid w:val="005832BB"/>
    <w:rsid w:val="006008C6"/>
    <w:rsid w:val="0062136B"/>
    <w:rsid w:val="00664409"/>
    <w:rsid w:val="00681201"/>
    <w:rsid w:val="006D494E"/>
    <w:rsid w:val="006D4F7B"/>
    <w:rsid w:val="006F209C"/>
    <w:rsid w:val="007378E2"/>
    <w:rsid w:val="00781BED"/>
    <w:rsid w:val="00787DB5"/>
    <w:rsid w:val="007C6E37"/>
    <w:rsid w:val="008200A4"/>
    <w:rsid w:val="00827FE3"/>
    <w:rsid w:val="008423FB"/>
    <w:rsid w:val="008832DE"/>
    <w:rsid w:val="008C23B7"/>
    <w:rsid w:val="009150BA"/>
    <w:rsid w:val="009A15AB"/>
    <w:rsid w:val="009A3B00"/>
    <w:rsid w:val="009A5001"/>
    <w:rsid w:val="009B0192"/>
    <w:rsid w:val="00A15AC9"/>
    <w:rsid w:val="00A15CC2"/>
    <w:rsid w:val="00A23EF2"/>
    <w:rsid w:val="00A32F1B"/>
    <w:rsid w:val="00A36F03"/>
    <w:rsid w:val="00A61ADC"/>
    <w:rsid w:val="00A66004"/>
    <w:rsid w:val="00A71D59"/>
    <w:rsid w:val="00A97D2E"/>
    <w:rsid w:val="00AC4027"/>
    <w:rsid w:val="00AD13F3"/>
    <w:rsid w:val="00AE11E4"/>
    <w:rsid w:val="00B242EA"/>
    <w:rsid w:val="00B5035B"/>
    <w:rsid w:val="00B6262A"/>
    <w:rsid w:val="00BB3F62"/>
    <w:rsid w:val="00BD7593"/>
    <w:rsid w:val="00C51471"/>
    <w:rsid w:val="00C65C21"/>
    <w:rsid w:val="00C85D0C"/>
    <w:rsid w:val="00C9010C"/>
    <w:rsid w:val="00CC6D11"/>
    <w:rsid w:val="00D06ACC"/>
    <w:rsid w:val="00D802EC"/>
    <w:rsid w:val="00D84DB7"/>
    <w:rsid w:val="00D94E0E"/>
    <w:rsid w:val="00DA0FDC"/>
    <w:rsid w:val="00DB41CC"/>
    <w:rsid w:val="00E16359"/>
    <w:rsid w:val="00E61244"/>
    <w:rsid w:val="00E9546F"/>
    <w:rsid w:val="00EC3BF0"/>
    <w:rsid w:val="00ED588F"/>
    <w:rsid w:val="00EF2187"/>
    <w:rsid w:val="00F167AF"/>
    <w:rsid w:val="00F37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2B80"/>
  <w15:chartTrackingRefBased/>
  <w15:docId w15:val="{4F582245-C837-4FAC-B720-44B1F7341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09C"/>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8C23B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8C23B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unhideWhenUsed/>
    <w:qFormat/>
    <w:rsid w:val="008C23B7"/>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C23B7"/>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8C23B7"/>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8C23B7"/>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8C23B7"/>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8C23B7"/>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8C23B7"/>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2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23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3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3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3B7"/>
    <w:rPr>
      <w:rFonts w:eastAsiaTheme="majorEastAsia" w:cstheme="majorBidi"/>
      <w:color w:val="272727" w:themeColor="text1" w:themeTint="D8"/>
    </w:rPr>
  </w:style>
  <w:style w:type="paragraph" w:styleId="Title">
    <w:name w:val="Title"/>
    <w:basedOn w:val="Normal"/>
    <w:next w:val="Normal"/>
    <w:link w:val="TitleChar"/>
    <w:uiPriority w:val="10"/>
    <w:qFormat/>
    <w:rsid w:val="008C23B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C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3B7"/>
    <w:pPr>
      <w:spacing w:before="160"/>
      <w:jc w:val="center"/>
    </w:pPr>
    <w:rPr>
      <w:i/>
      <w:iCs/>
      <w:color w:val="404040" w:themeColor="text1" w:themeTint="BF"/>
    </w:rPr>
  </w:style>
  <w:style w:type="character" w:customStyle="1" w:styleId="QuoteChar">
    <w:name w:val="Quote Char"/>
    <w:basedOn w:val="DefaultParagraphFont"/>
    <w:link w:val="Quote"/>
    <w:uiPriority w:val="29"/>
    <w:rsid w:val="008C23B7"/>
    <w:rPr>
      <w:i/>
      <w:iCs/>
      <w:color w:val="404040" w:themeColor="text1" w:themeTint="BF"/>
    </w:rPr>
  </w:style>
  <w:style w:type="paragraph" w:styleId="ListParagraph">
    <w:name w:val="List Paragraph"/>
    <w:basedOn w:val="Normal"/>
    <w:uiPriority w:val="34"/>
    <w:qFormat/>
    <w:rsid w:val="008C23B7"/>
    <w:pPr>
      <w:ind w:left="720"/>
      <w:contextualSpacing/>
    </w:pPr>
  </w:style>
  <w:style w:type="character" w:styleId="IntenseEmphasis">
    <w:name w:val="Intense Emphasis"/>
    <w:basedOn w:val="DefaultParagraphFont"/>
    <w:uiPriority w:val="21"/>
    <w:qFormat/>
    <w:rsid w:val="008C23B7"/>
    <w:rPr>
      <w:i/>
      <w:iCs/>
      <w:color w:val="0F4761" w:themeColor="accent1" w:themeShade="BF"/>
    </w:rPr>
  </w:style>
  <w:style w:type="paragraph" w:styleId="IntenseQuote">
    <w:name w:val="Intense Quote"/>
    <w:basedOn w:val="Normal"/>
    <w:next w:val="Normal"/>
    <w:link w:val="IntenseQuoteChar"/>
    <w:uiPriority w:val="30"/>
    <w:qFormat/>
    <w:rsid w:val="008C2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3B7"/>
    <w:rPr>
      <w:i/>
      <w:iCs/>
      <w:color w:val="0F4761" w:themeColor="accent1" w:themeShade="BF"/>
    </w:rPr>
  </w:style>
  <w:style w:type="character" w:styleId="IntenseReference">
    <w:name w:val="Intense Reference"/>
    <w:basedOn w:val="DefaultParagraphFont"/>
    <w:uiPriority w:val="32"/>
    <w:qFormat/>
    <w:rsid w:val="008C23B7"/>
    <w:rPr>
      <w:b/>
      <w:bCs/>
      <w:smallCaps/>
      <w:color w:val="0F4761" w:themeColor="accent1" w:themeShade="BF"/>
      <w:spacing w:val="5"/>
    </w:rPr>
  </w:style>
  <w:style w:type="character" w:styleId="Hyperlink">
    <w:name w:val="Hyperlink"/>
    <w:basedOn w:val="DefaultParagraphFont"/>
    <w:uiPriority w:val="99"/>
    <w:unhideWhenUsed/>
    <w:rsid w:val="00EC3BF0"/>
    <w:rPr>
      <w:color w:val="467886" w:themeColor="hyperlink"/>
      <w:u w:val="single"/>
    </w:rPr>
  </w:style>
  <w:style w:type="character" w:styleId="UnresolvedMention">
    <w:name w:val="Unresolved Mention"/>
    <w:basedOn w:val="DefaultParagraphFont"/>
    <w:uiPriority w:val="99"/>
    <w:semiHidden/>
    <w:unhideWhenUsed/>
    <w:rsid w:val="00111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Gundo Kahle</dc:creator>
  <cp:keywords/>
  <dc:description/>
  <cp:lastModifiedBy>Maria Windmon</cp:lastModifiedBy>
  <cp:revision>2</cp:revision>
  <cp:lastPrinted>2025-12-29T13:45:00Z</cp:lastPrinted>
  <dcterms:created xsi:type="dcterms:W3CDTF">2026-09-17T17:23:00Z</dcterms:created>
  <dcterms:modified xsi:type="dcterms:W3CDTF">2026-09-17T17:23:00Z</dcterms:modified>
</cp:coreProperties>
</file>