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FE860" w14:textId="6D1D0240" w:rsidR="00DA32AC" w:rsidRPr="001B73F5" w:rsidRDefault="00DA32AC" w:rsidP="004F31DF">
      <w:pPr>
        <w:rPr>
          <w:color w:val="215E99" w:themeColor="text2" w:themeTint="BF"/>
          <w:sz w:val="56"/>
          <w:szCs w:val="56"/>
        </w:rPr>
      </w:pPr>
      <w:r w:rsidRPr="001B73F5">
        <w:rPr>
          <w:noProof/>
          <w:color w:val="215E99" w:themeColor="text2" w:themeTint="BF"/>
          <w:sz w:val="56"/>
          <w:szCs w:val="56"/>
        </w:rPr>
        <w:drawing>
          <wp:inline distT="0" distB="0" distL="0" distR="0" wp14:anchorId="0CEC4C23" wp14:editId="46E54490">
            <wp:extent cx="6629400" cy="1655445"/>
            <wp:effectExtent l="0" t="0" r="0" b="1905"/>
            <wp:docPr id="334333798" name="Picture 3" descr="A close up of a compas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333798" name="Picture 3" descr="A close up of a compass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1655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3F3604" w14:textId="2BE5D2E1" w:rsidR="004F31DF" w:rsidRPr="001B73F5" w:rsidRDefault="004F31DF" w:rsidP="004F31DF">
      <w:pPr>
        <w:rPr>
          <w:color w:val="215E99" w:themeColor="text2" w:themeTint="BF"/>
          <w:sz w:val="56"/>
          <w:szCs w:val="56"/>
        </w:rPr>
      </w:pPr>
      <w:r w:rsidRPr="001B73F5">
        <w:rPr>
          <w:color w:val="215E99" w:themeColor="text2" w:themeTint="BF"/>
          <w:sz w:val="56"/>
          <w:szCs w:val="56"/>
        </w:rPr>
        <w:t xml:space="preserve">Regulation Emerges as a </w:t>
      </w:r>
      <w:proofErr w:type="gramStart"/>
      <w:r w:rsidRPr="001B73F5">
        <w:rPr>
          <w:color w:val="215E99" w:themeColor="text2" w:themeTint="BF"/>
          <w:sz w:val="56"/>
          <w:szCs w:val="56"/>
        </w:rPr>
        <w:t>Deal-Maker</w:t>
      </w:r>
      <w:proofErr w:type="gramEnd"/>
      <w:r w:rsidR="00F62BE9">
        <w:rPr>
          <w:color w:val="215E99" w:themeColor="text2" w:themeTint="BF"/>
          <w:sz w:val="56"/>
          <w:szCs w:val="56"/>
        </w:rPr>
        <w:t xml:space="preserve"> </w:t>
      </w:r>
      <w:r w:rsidRPr="001B73F5">
        <w:rPr>
          <w:color w:val="215E99" w:themeColor="text2" w:themeTint="BF"/>
          <w:sz w:val="56"/>
          <w:szCs w:val="56"/>
        </w:rPr>
        <w:t>or Deal-Breaker</w:t>
      </w:r>
      <w:r w:rsidR="00F62BE9">
        <w:rPr>
          <w:color w:val="215E99" w:themeColor="text2" w:themeTint="BF"/>
          <w:sz w:val="56"/>
          <w:szCs w:val="56"/>
        </w:rPr>
        <w:t xml:space="preserve"> </w:t>
      </w:r>
      <w:r w:rsidRPr="001B73F5">
        <w:rPr>
          <w:color w:val="215E99" w:themeColor="text2" w:themeTint="BF"/>
          <w:sz w:val="56"/>
          <w:szCs w:val="56"/>
        </w:rPr>
        <w:t>Worldwide</w:t>
      </w:r>
    </w:p>
    <w:p w14:paraId="0A0824ED" w14:textId="77777777" w:rsidR="004F31DF" w:rsidRPr="001B73F5" w:rsidRDefault="004F31DF" w:rsidP="00DA32AC">
      <w:pPr>
        <w:jc w:val="both"/>
        <w:rPr>
          <w:color w:val="215E99" w:themeColor="text2" w:themeTint="BF"/>
          <w:sz w:val="28"/>
          <w:szCs w:val="28"/>
        </w:rPr>
      </w:pPr>
      <w:r w:rsidRPr="001B73F5">
        <w:rPr>
          <w:color w:val="215E99" w:themeColor="text2" w:themeTint="BF"/>
          <w:sz w:val="28"/>
          <w:szCs w:val="28"/>
        </w:rPr>
        <w:t>Governments across the globe are tightening their regulatory frameworks to scrutinize cross-border M&amp;A more intensely than ever. From antitrust blocks in the EU to foreign investment screenings spanning Asia, North America, and Australia, unwary acquirers now face a rising risk: transactions being delayed, unwound, or outright prohibited.</w:t>
      </w:r>
    </w:p>
    <w:p w14:paraId="757D5A1B" w14:textId="59509F7E" w:rsidR="004F31DF" w:rsidRPr="001B73F5" w:rsidRDefault="004F31DF" w:rsidP="00DA32AC">
      <w:pPr>
        <w:jc w:val="both"/>
        <w:rPr>
          <w:b/>
          <w:bCs/>
          <w:color w:val="215E99" w:themeColor="text2" w:themeTint="BF"/>
          <w:sz w:val="28"/>
          <w:szCs w:val="28"/>
        </w:rPr>
      </w:pPr>
      <w:r w:rsidRPr="001B73F5">
        <w:rPr>
          <w:b/>
          <w:bCs/>
          <w:color w:val="215E99" w:themeColor="text2" w:themeTint="BF"/>
          <w:sz w:val="28"/>
          <w:szCs w:val="28"/>
        </w:rPr>
        <w:t>Antitrust &amp; Competition Enforcement</w:t>
      </w:r>
    </w:p>
    <w:p w14:paraId="64F6BEFC" w14:textId="24D6F154" w:rsidR="004F31DF" w:rsidRPr="001B73F5" w:rsidRDefault="004F31DF" w:rsidP="00DA32AC">
      <w:pPr>
        <w:jc w:val="both"/>
        <w:rPr>
          <w:color w:val="215E99" w:themeColor="text2" w:themeTint="BF"/>
          <w:sz w:val="28"/>
          <w:szCs w:val="28"/>
        </w:rPr>
      </w:pPr>
      <w:r w:rsidRPr="001B73F5">
        <w:rPr>
          <w:color w:val="215E99" w:themeColor="text2" w:themeTint="BF"/>
          <w:sz w:val="28"/>
          <w:szCs w:val="28"/>
        </w:rPr>
        <w:t>Regulators in the EU, UK, Canada, Australia, China, Japan, and others have stepped up merger reviews to guard domestic markets</w:t>
      </w:r>
    </w:p>
    <w:p w14:paraId="6909A914" w14:textId="5825D174" w:rsidR="004F31DF" w:rsidRPr="001B73F5" w:rsidRDefault="004F31DF" w:rsidP="00DA32AC">
      <w:pPr>
        <w:jc w:val="both"/>
        <w:rPr>
          <w:color w:val="215E99" w:themeColor="text2" w:themeTint="BF"/>
          <w:sz w:val="28"/>
          <w:szCs w:val="28"/>
        </w:rPr>
      </w:pPr>
      <w:r w:rsidRPr="001B73F5">
        <w:rPr>
          <w:color w:val="215E99" w:themeColor="text2" w:themeTint="BF"/>
          <w:sz w:val="28"/>
          <w:szCs w:val="28"/>
        </w:rPr>
        <w:t xml:space="preserve">The EU’s </w:t>
      </w:r>
      <w:r w:rsidRPr="001B73F5">
        <w:rPr>
          <w:b/>
          <w:bCs/>
          <w:color w:val="215E99" w:themeColor="text2" w:themeTint="BF"/>
          <w:sz w:val="28"/>
          <w:szCs w:val="28"/>
        </w:rPr>
        <w:t>Foreign Subsidies Regulation (FSR)</w:t>
      </w:r>
      <w:r w:rsidRPr="001B73F5">
        <w:rPr>
          <w:color w:val="215E99" w:themeColor="text2" w:themeTint="BF"/>
          <w:sz w:val="28"/>
          <w:szCs w:val="28"/>
        </w:rPr>
        <w:t xml:space="preserve"> adds an extra scrutiny layer—reviewing not just competition, but subsidies that may fuel distortion in sectors ranging from telecoms to pharmaceuticals</w:t>
      </w:r>
    </w:p>
    <w:p w14:paraId="32A854CF" w14:textId="77777777" w:rsidR="004F31DF" w:rsidRPr="001B73F5" w:rsidRDefault="004F31DF" w:rsidP="00DA32AC">
      <w:pPr>
        <w:jc w:val="both"/>
        <w:rPr>
          <w:color w:val="215E99" w:themeColor="text2" w:themeTint="BF"/>
          <w:sz w:val="28"/>
          <w:szCs w:val="28"/>
        </w:rPr>
      </w:pPr>
      <w:r w:rsidRPr="001B73F5">
        <w:rPr>
          <w:color w:val="215E99" w:themeColor="text2" w:themeTint="BF"/>
          <w:sz w:val="28"/>
          <w:szCs w:val="28"/>
        </w:rPr>
        <w:t>In Canada, new stiffer penalties and discretionary powers reflect growing global alignment with U.S.-style enforcement.</w:t>
      </w:r>
    </w:p>
    <w:p w14:paraId="7ECA5C4B" w14:textId="29A03D2E" w:rsidR="004F31DF" w:rsidRPr="001B73F5" w:rsidRDefault="004F31DF" w:rsidP="00DA32AC">
      <w:pPr>
        <w:jc w:val="both"/>
        <w:rPr>
          <w:b/>
          <w:bCs/>
          <w:color w:val="215E99" w:themeColor="text2" w:themeTint="BF"/>
          <w:sz w:val="28"/>
          <w:szCs w:val="28"/>
        </w:rPr>
      </w:pPr>
      <w:r w:rsidRPr="001B73F5">
        <w:rPr>
          <w:b/>
          <w:bCs/>
          <w:color w:val="215E99" w:themeColor="text2" w:themeTint="BF"/>
          <w:sz w:val="28"/>
          <w:szCs w:val="28"/>
        </w:rPr>
        <w:t>Foreign Investment Reviews</w:t>
      </w:r>
    </w:p>
    <w:p w14:paraId="344393F2" w14:textId="2E9AB5CF" w:rsidR="004F31DF" w:rsidRPr="001B73F5" w:rsidRDefault="004F31DF" w:rsidP="00DA32AC">
      <w:pPr>
        <w:jc w:val="both"/>
        <w:rPr>
          <w:color w:val="215E99" w:themeColor="text2" w:themeTint="BF"/>
          <w:sz w:val="28"/>
          <w:szCs w:val="28"/>
        </w:rPr>
      </w:pPr>
      <w:r w:rsidRPr="001B73F5">
        <w:rPr>
          <w:color w:val="215E99" w:themeColor="text2" w:themeTint="BF"/>
          <w:sz w:val="28"/>
          <w:szCs w:val="28"/>
        </w:rPr>
        <w:t>Screening regimes are multiplying: all G7 countries, plus most EU members, now evaluate deals for national security risk.</w:t>
      </w:r>
    </w:p>
    <w:p w14:paraId="1F8F7791" w14:textId="77777777" w:rsidR="004F31DF" w:rsidRPr="001B73F5" w:rsidRDefault="004F31DF" w:rsidP="00DA32AC">
      <w:pPr>
        <w:jc w:val="both"/>
        <w:rPr>
          <w:color w:val="215E99" w:themeColor="text2" w:themeTint="BF"/>
          <w:sz w:val="28"/>
          <w:szCs w:val="28"/>
        </w:rPr>
      </w:pPr>
      <w:r w:rsidRPr="001B73F5">
        <w:rPr>
          <w:color w:val="215E99" w:themeColor="text2" w:themeTint="BF"/>
          <w:sz w:val="28"/>
          <w:szCs w:val="28"/>
        </w:rPr>
        <w:t>Germany, Australia, Canada, Japan, and others operate broad, sector-agnostic screening systems—covering everything from AI to farmland.</w:t>
      </w:r>
    </w:p>
    <w:p w14:paraId="5DEAC88C" w14:textId="6BF34F6F" w:rsidR="004F31DF" w:rsidRPr="001B73F5" w:rsidRDefault="004F31DF" w:rsidP="00DA32AC">
      <w:pPr>
        <w:jc w:val="both"/>
        <w:rPr>
          <w:color w:val="215E99" w:themeColor="text2" w:themeTint="BF"/>
          <w:sz w:val="28"/>
          <w:szCs w:val="28"/>
        </w:rPr>
      </w:pPr>
      <w:r w:rsidRPr="001B73F5">
        <w:rPr>
          <w:color w:val="215E99" w:themeColor="text2" w:themeTint="BF"/>
          <w:sz w:val="28"/>
          <w:szCs w:val="28"/>
        </w:rPr>
        <w:t xml:space="preserve">China and the EU are discussing outbound review frameworks, marking a significant shift in cross-border deal geography </w:t>
      </w:r>
    </w:p>
    <w:p w14:paraId="131C78A8" w14:textId="563A3C6D" w:rsidR="004F31DF" w:rsidRPr="001B73F5" w:rsidRDefault="004F31DF" w:rsidP="00DA32AC">
      <w:pPr>
        <w:jc w:val="both"/>
        <w:rPr>
          <w:b/>
          <w:bCs/>
          <w:color w:val="215E99" w:themeColor="text2" w:themeTint="BF"/>
          <w:sz w:val="28"/>
          <w:szCs w:val="28"/>
        </w:rPr>
      </w:pPr>
      <w:r w:rsidRPr="001B73F5">
        <w:rPr>
          <w:b/>
          <w:bCs/>
          <w:color w:val="215E99" w:themeColor="text2" w:themeTint="BF"/>
          <w:sz w:val="28"/>
          <w:szCs w:val="28"/>
        </w:rPr>
        <w:t>Sector-Specific &amp; Digital Economy Rules</w:t>
      </w:r>
    </w:p>
    <w:p w14:paraId="24F54653" w14:textId="10D06706" w:rsidR="004F31DF" w:rsidRPr="001B73F5" w:rsidRDefault="004F31DF" w:rsidP="00DA32AC">
      <w:pPr>
        <w:tabs>
          <w:tab w:val="num" w:pos="720"/>
        </w:tabs>
        <w:jc w:val="both"/>
        <w:rPr>
          <w:color w:val="215E99" w:themeColor="text2" w:themeTint="BF"/>
          <w:sz w:val="28"/>
          <w:szCs w:val="28"/>
        </w:rPr>
      </w:pPr>
      <w:r w:rsidRPr="001B73F5">
        <w:rPr>
          <w:color w:val="215E99" w:themeColor="text2" w:themeTint="BF"/>
          <w:sz w:val="28"/>
          <w:szCs w:val="28"/>
        </w:rPr>
        <w:t>The EU Digital Markets Act subjects’ gatekeepers—like Google and Apple—to merger review obligations, banning self-preferencing and data bundling. National authorities (e.g. UK’s CMA and Germany’s Bundeskartellamt) are reinforcing digital-sector oversight in areas like nascent competitors, data control, and climate-related coordination.</w:t>
      </w:r>
    </w:p>
    <w:p w14:paraId="6AA72FCB" w14:textId="77777777" w:rsidR="001B73F5" w:rsidRDefault="001B73F5" w:rsidP="004F31DF">
      <w:pPr>
        <w:rPr>
          <w:b/>
          <w:bCs/>
          <w:color w:val="215E99" w:themeColor="text2" w:themeTint="BF"/>
          <w:sz w:val="28"/>
          <w:szCs w:val="28"/>
        </w:rPr>
      </w:pPr>
    </w:p>
    <w:p w14:paraId="26B08EE2" w14:textId="77777777" w:rsidR="001B73F5" w:rsidRDefault="001B73F5" w:rsidP="004F31DF">
      <w:pPr>
        <w:rPr>
          <w:b/>
          <w:bCs/>
          <w:color w:val="215E99" w:themeColor="text2" w:themeTint="BF"/>
          <w:sz w:val="28"/>
          <w:szCs w:val="28"/>
        </w:rPr>
      </w:pPr>
    </w:p>
    <w:p w14:paraId="70979825" w14:textId="2AE17775" w:rsidR="004F31DF" w:rsidRPr="001B73F5" w:rsidRDefault="004F31DF" w:rsidP="004F31DF">
      <w:pPr>
        <w:rPr>
          <w:b/>
          <w:bCs/>
          <w:color w:val="215E99" w:themeColor="text2" w:themeTint="BF"/>
          <w:sz w:val="28"/>
          <w:szCs w:val="28"/>
        </w:rPr>
      </w:pPr>
      <w:r w:rsidRPr="001B73F5">
        <w:rPr>
          <w:b/>
          <w:bCs/>
          <w:color w:val="215E99" w:themeColor="text2" w:themeTint="BF"/>
          <w:sz w:val="28"/>
          <w:szCs w:val="28"/>
        </w:rPr>
        <w:lastRenderedPageBreak/>
        <w:t>What This Means for Your Deal</w:t>
      </w:r>
    </w:p>
    <w:p w14:paraId="0BD5FC18" w14:textId="2DF40E0F" w:rsidR="004F31DF" w:rsidRPr="001B73F5" w:rsidRDefault="004F31DF" w:rsidP="009A5617">
      <w:pPr>
        <w:spacing w:after="0" w:line="240" w:lineRule="auto"/>
        <w:rPr>
          <w:b/>
          <w:bCs/>
          <w:color w:val="215E99" w:themeColor="text2" w:themeTint="BF"/>
        </w:rPr>
      </w:pPr>
      <w:r w:rsidRPr="001B73F5">
        <w:rPr>
          <w:b/>
          <w:bCs/>
          <w:color w:val="215E99" w:themeColor="text2" w:themeTint="BF"/>
        </w:rPr>
        <w:t>Challenge</w:t>
      </w:r>
      <w:r w:rsidRPr="001B73F5">
        <w:rPr>
          <w:b/>
          <w:bCs/>
          <w:color w:val="215E99" w:themeColor="text2" w:themeTint="BF"/>
        </w:rPr>
        <w:tab/>
      </w:r>
      <w:r w:rsidRPr="001B73F5">
        <w:rPr>
          <w:b/>
          <w:bCs/>
          <w:color w:val="215E99" w:themeColor="text2" w:themeTint="BF"/>
        </w:rPr>
        <w:tab/>
      </w:r>
      <w:r w:rsidRPr="001B73F5">
        <w:rPr>
          <w:b/>
          <w:bCs/>
          <w:color w:val="215E99" w:themeColor="text2" w:themeTint="BF"/>
        </w:rPr>
        <w:tab/>
        <w:t>Impact</w:t>
      </w:r>
      <w:r w:rsidRPr="001B73F5">
        <w:rPr>
          <w:b/>
          <w:bCs/>
          <w:color w:val="215E99" w:themeColor="text2" w:themeTint="BF"/>
        </w:rPr>
        <w:tab/>
      </w:r>
      <w:r w:rsidRPr="001B73F5">
        <w:rPr>
          <w:b/>
          <w:bCs/>
          <w:color w:val="215E99" w:themeColor="text2" w:themeTint="BF"/>
        </w:rPr>
        <w:tab/>
      </w:r>
      <w:r w:rsidRPr="001B73F5">
        <w:rPr>
          <w:b/>
          <w:bCs/>
          <w:color w:val="215E99" w:themeColor="text2" w:themeTint="BF"/>
        </w:rPr>
        <w:tab/>
      </w:r>
      <w:r w:rsidRPr="001B73F5">
        <w:rPr>
          <w:b/>
          <w:bCs/>
          <w:color w:val="215E99" w:themeColor="text2" w:themeTint="BF"/>
        </w:rPr>
        <w:tab/>
        <w:t>Strategy</w:t>
      </w:r>
    </w:p>
    <w:p w14:paraId="2B34EB61" w14:textId="26C25B1F" w:rsidR="004F31DF" w:rsidRPr="001B73F5" w:rsidRDefault="004F31DF" w:rsidP="009A5617">
      <w:pPr>
        <w:spacing w:after="0" w:line="240" w:lineRule="auto"/>
        <w:ind w:left="2880" w:hanging="2880"/>
        <w:rPr>
          <w:color w:val="215E99" w:themeColor="text2" w:themeTint="BF"/>
        </w:rPr>
      </w:pPr>
      <w:r w:rsidRPr="001B73F5">
        <w:rPr>
          <w:color w:val="215E99" w:themeColor="text2" w:themeTint="BF"/>
        </w:rPr>
        <w:t>Multi-jurisdiction filings</w:t>
      </w:r>
      <w:r w:rsidRPr="001B73F5">
        <w:rPr>
          <w:color w:val="215E99" w:themeColor="text2" w:themeTint="BF"/>
        </w:rPr>
        <w:tab/>
        <w:t>Longer timelines, added cost</w:t>
      </w:r>
      <w:r w:rsidRPr="001B73F5">
        <w:rPr>
          <w:color w:val="215E99" w:themeColor="text2" w:themeTint="BF"/>
        </w:rPr>
        <w:tab/>
        <w:t xml:space="preserve">Early </w:t>
      </w:r>
      <w:r w:rsidR="009A5617" w:rsidRPr="001B73F5">
        <w:rPr>
          <w:color w:val="215E99" w:themeColor="text2" w:themeTint="BF"/>
        </w:rPr>
        <w:t>engagement,</w:t>
      </w:r>
      <w:r w:rsidRPr="001B73F5">
        <w:rPr>
          <w:color w:val="215E99" w:themeColor="text2" w:themeTint="BF"/>
        </w:rPr>
        <w:t xml:space="preserve"> unified filing strategy</w:t>
      </w:r>
    </w:p>
    <w:p w14:paraId="2836A6BB" w14:textId="5500C750" w:rsidR="004F31DF" w:rsidRPr="001B73F5" w:rsidRDefault="004F31DF" w:rsidP="009A5617">
      <w:pPr>
        <w:spacing w:after="0" w:line="240" w:lineRule="auto"/>
        <w:rPr>
          <w:color w:val="215E99" w:themeColor="text2" w:themeTint="BF"/>
        </w:rPr>
      </w:pPr>
      <w:r w:rsidRPr="001B73F5">
        <w:rPr>
          <w:color w:val="215E99" w:themeColor="text2" w:themeTint="BF"/>
        </w:rPr>
        <w:t>National/supranational rules</w:t>
      </w:r>
      <w:r w:rsidRPr="001B73F5">
        <w:rPr>
          <w:color w:val="215E99" w:themeColor="text2" w:themeTint="BF"/>
        </w:rPr>
        <w:tab/>
        <w:t>Overlapping or conflicting</w:t>
      </w:r>
      <w:r w:rsidRPr="001B73F5">
        <w:rPr>
          <w:color w:val="215E99" w:themeColor="text2" w:themeTint="BF"/>
        </w:rPr>
        <w:tab/>
        <w:t>Harmoni</w:t>
      </w:r>
      <w:r w:rsidR="009A5617" w:rsidRPr="001B73F5">
        <w:rPr>
          <w:color w:val="215E99" w:themeColor="text2" w:themeTint="BF"/>
        </w:rPr>
        <w:t>s</w:t>
      </w:r>
      <w:r w:rsidRPr="001B73F5">
        <w:rPr>
          <w:color w:val="215E99" w:themeColor="text2" w:themeTint="BF"/>
        </w:rPr>
        <w:t>e with EC &amp; national experts</w:t>
      </w:r>
    </w:p>
    <w:p w14:paraId="0CF78336" w14:textId="163D7D0E" w:rsidR="009A5617" w:rsidRPr="001B73F5" w:rsidRDefault="009A5617" w:rsidP="009A5617">
      <w:pPr>
        <w:spacing w:after="0" w:line="240" w:lineRule="auto"/>
        <w:rPr>
          <w:color w:val="215E99" w:themeColor="text2" w:themeTint="BF"/>
        </w:rPr>
      </w:pPr>
      <w:r w:rsidRPr="001B73F5">
        <w:rPr>
          <w:color w:val="215E99" w:themeColor="text2" w:themeTint="BF"/>
        </w:rPr>
        <w:tab/>
      </w:r>
      <w:r w:rsidRPr="001B73F5">
        <w:rPr>
          <w:color w:val="215E99" w:themeColor="text2" w:themeTint="BF"/>
        </w:rPr>
        <w:tab/>
      </w:r>
      <w:r w:rsidRPr="001B73F5">
        <w:rPr>
          <w:color w:val="215E99" w:themeColor="text2" w:themeTint="BF"/>
        </w:rPr>
        <w:tab/>
      </w:r>
      <w:r w:rsidRPr="001B73F5">
        <w:rPr>
          <w:color w:val="215E99" w:themeColor="text2" w:themeTint="BF"/>
        </w:rPr>
        <w:tab/>
        <w:t>regulations</w:t>
      </w:r>
    </w:p>
    <w:p w14:paraId="53A71A24" w14:textId="7D0D9419" w:rsidR="004F31DF" w:rsidRPr="001B73F5" w:rsidRDefault="004F31DF" w:rsidP="009A5617">
      <w:pPr>
        <w:spacing w:after="0" w:line="240" w:lineRule="auto"/>
        <w:rPr>
          <w:color w:val="215E99" w:themeColor="text2" w:themeTint="BF"/>
        </w:rPr>
      </w:pPr>
      <w:r w:rsidRPr="001B73F5">
        <w:rPr>
          <w:color w:val="215E99" w:themeColor="text2" w:themeTint="BF"/>
        </w:rPr>
        <w:t>Sector-specific regimes</w:t>
      </w:r>
      <w:r w:rsidRPr="001B73F5">
        <w:rPr>
          <w:color w:val="215E99" w:themeColor="text2" w:themeTint="BF"/>
        </w:rPr>
        <w:tab/>
        <w:t>Risk of intervention or</w:t>
      </w:r>
      <w:r w:rsidRPr="001B73F5">
        <w:rPr>
          <w:color w:val="215E99" w:themeColor="text2" w:themeTint="BF"/>
        </w:rPr>
        <w:tab/>
      </w:r>
      <w:r w:rsidRPr="001B73F5">
        <w:rPr>
          <w:color w:val="215E99" w:themeColor="text2" w:themeTint="BF"/>
        </w:rPr>
        <w:tab/>
        <w:t>Tailor structure, consider carve outs</w:t>
      </w:r>
    </w:p>
    <w:p w14:paraId="43ABA7FD" w14:textId="2FB6EE67" w:rsidR="004F31DF" w:rsidRPr="001B73F5" w:rsidRDefault="004F31DF" w:rsidP="009A5617">
      <w:pPr>
        <w:spacing w:after="0" w:line="240" w:lineRule="auto"/>
        <w:rPr>
          <w:color w:val="215E99" w:themeColor="text2" w:themeTint="BF"/>
        </w:rPr>
      </w:pPr>
      <w:r w:rsidRPr="001B73F5">
        <w:rPr>
          <w:color w:val="215E99" w:themeColor="text2" w:themeTint="BF"/>
        </w:rPr>
        <w:tab/>
      </w:r>
      <w:r w:rsidRPr="001B73F5">
        <w:rPr>
          <w:color w:val="215E99" w:themeColor="text2" w:themeTint="BF"/>
        </w:rPr>
        <w:tab/>
      </w:r>
      <w:r w:rsidRPr="001B73F5">
        <w:rPr>
          <w:color w:val="215E99" w:themeColor="text2" w:themeTint="BF"/>
        </w:rPr>
        <w:tab/>
      </w:r>
      <w:r w:rsidRPr="001B73F5">
        <w:rPr>
          <w:color w:val="215E99" w:themeColor="text2" w:themeTint="BF"/>
        </w:rPr>
        <w:tab/>
        <w:t>divestment</w:t>
      </w:r>
    </w:p>
    <w:p w14:paraId="5B811A5D" w14:textId="73BD63D4" w:rsidR="004F31DF" w:rsidRPr="001B73F5" w:rsidRDefault="004F31DF" w:rsidP="009A5617">
      <w:pPr>
        <w:spacing w:after="0" w:line="240" w:lineRule="auto"/>
        <w:rPr>
          <w:color w:val="215E99" w:themeColor="text2" w:themeTint="BF"/>
        </w:rPr>
      </w:pPr>
      <w:r w:rsidRPr="001B73F5">
        <w:rPr>
          <w:color w:val="215E99" w:themeColor="text2" w:themeTint="BF"/>
        </w:rPr>
        <w:t>Foreign subsidy scrutiny</w:t>
      </w:r>
      <w:r w:rsidRPr="001B73F5">
        <w:rPr>
          <w:color w:val="215E99" w:themeColor="text2" w:themeTint="BF"/>
        </w:rPr>
        <w:tab/>
        <w:t xml:space="preserve">Potential blockers via </w:t>
      </w:r>
      <w:r w:rsidRPr="001B73F5">
        <w:rPr>
          <w:color w:val="215E99" w:themeColor="text2" w:themeTint="BF"/>
        </w:rPr>
        <w:tab/>
      </w:r>
      <w:r w:rsidRPr="001B73F5">
        <w:rPr>
          <w:color w:val="215E99" w:themeColor="text2" w:themeTint="BF"/>
        </w:rPr>
        <w:tab/>
        <w:t>Trace ownership, model subsidy flows</w:t>
      </w:r>
    </w:p>
    <w:p w14:paraId="0A034203" w14:textId="1FE54C8C" w:rsidR="004F31DF" w:rsidRPr="001B73F5" w:rsidRDefault="004F31DF" w:rsidP="009A5617">
      <w:pPr>
        <w:spacing w:after="0" w:line="240" w:lineRule="auto"/>
        <w:ind w:left="2160" w:firstLine="720"/>
        <w:rPr>
          <w:color w:val="215E99" w:themeColor="text2" w:themeTint="BF"/>
        </w:rPr>
      </w:pPr>
      <w:r w:rsidRPr="001B73F5">
        <w:rPr>
          <w:color w:val="215E99" w:themeColor="text2" w:themeTint="BF"/>
        </w:rPr>
        <w:t>subsidy distortion</w:t>
      </w:r>
      <w:r w:rsidRPr="001B73F5">
        <w:rPr>
          <w:color w:val="215E99" w:themeColor="text2" w:themeTint="BF"/>
        </w:rPr>
        <w:tab/>
      </w:r>
    </w:p>
    <w:p w14:paraId="2C572DFB" w14:textId="77777777" w:rsidR="009A5617" w:rsidRPr="001B73F5" w:rsidRDefault="009A5617" w:rsidP="004F31DF">
      <w:pPr>
        <w:rPr>
          <w:b/>
          <w:bCs/>
          <w:color w:val="215E99" w:themeColor="text2" w:themeTint="BF"/>
          <w:sz w:val="28"/>
          <w:szCs w:val="28"/>
        </w:rPr>
      </w:pPr>
    </w:p>
    <w:p w14:paraId="3A082C41" w14:textId="0708DCE6" w:rsidR="004F31DF" w:rsidRPr="001B73F5" w:rsidRDefault="009A5617" w:rsidP="004F31DF">
      <w:pPr>
        <w:rPr>
          <w:b/>
          <w:bCs/>
          <w:color w:val="215E99" w:themeColor="text2" w:themeTint="BF"/>
          <w:sz w:val="28"/>
          <w:szCs w:val="28"/>
        </w:rPr>
      </w:pPr>
      <w:r w:rsidRPr="001B73F5">
        <w:rPr>
          <w:b/>
          <w:bCs/>
          <w:color w:val="215E99" w:themeColor="text2" w:themeTint="BF"/>
          <w:sz w:val="28"/>
          <w:szCs w:val="28"/>
        </w:rPr>
        <w:t xml:space="preserve">Key </w:t>
      </w:r>
      <w:r w:rsidR="00DA32AC" w:rsidRPr="001B73F5">
        <w:rPr>
          <w:b/>
          <w:bCs/>
          <w:color w:val="215E99" w:themeColor="text2" w:themeTint="BF"/>
          <w:sz w:val="28"/>
          <w:szCs w:val="28"/>
        </w:rPr>
        <w:t>Issues</w:t>
      </w:r>
    </w:p>
    <w:p w14:paraId="2CBD0498" w14:textId="77777777" w:rsidR="009A5617" w:rsidRPr="001B73F5" w:rsidRDefault="004F31DF" w:rsidP="00DA32AC">
      <w:pPr>
        <w:jc w:val="both"/>
        <w:rPr>
          <w:color w:val="215E99" w:themeColor="text2" w:themeTint="BF"/>
          <w:sz w:val="28"/>
          <w:szCs w:val="28"/>
        </w:rPr>
      </w:pPr>
      <w:r w:rsidRPr="001B73F5">
        <w:rPr>
          <w:color w:val="215E99" w:themeColor="text2" w:themeTint="BF"/>
          <w:sz w:val="28"/>
          <w:szCs w:val="28"/>
        </w:rPr>
        <w:t xml:space="preserve">Ignoring global regulatory complexities can derail or reverse even well-planned transactions. </w:t>
      </w:r>
    </w:p>
    <w:p w14:paraId="5D4E342C" w14:textId="77777777" w:rsidR="00DA32AC" w:rsidRPr="001B73F5" w:rsidRDefault="004F31DF" w:rsidP="00DA32AC">
      <w:pPr>
        <w:jc w:val="both"/>
        <w:rPr>
          <w:color w:val="215E99" w:themeColor="text2" w:themeTint="BF"/>
          <w:sz w:val="28"/>
          <w:szCs w:val="28"/>
        </w:rPr>
      </w:pPr>
      <w:r w:rsidRPr="001B73F5">
        <w:rPr>
          <w:color w:val="215E99" w:themeColor="text2" w:themeTint="BF"/>
          <w:sz w:val="28"/>
          <w:szCs w:val="28"/>
        </w:rPr>
        <w:t>Today’s acquirers must:</w:t>
      </w:r>
      <w:r w:rsidR="00DA32AC" w:rsidRPr="001B73F5">
        <w:rPr>
          <w:color w:val="215E99" w:themeColor="text2" w:themeTint="BF"/>
          <w:sz w:val="28"/>
          <w:szCs w:val="28"/>
        </w:rPr>
        <w:t xml:space="preserve"> </w:t>
      </w:r>
    </w:p>
    <w:p w14:paraId="3A58B2AA" w14:textId="57F496E8" w:rsidR="004F31DF" w:rsidRPr="001B73F5" w:rsidRDefault="004F31DF" w:rsidP="00DA32AC">
      <w:pPr>
        <w:jc w:val="both"/>
        <w:rPr>
          <w:color w:val="215E99" w:themeColor="text2" w:themeTint="BF"/>
          <w:sz w:val="28"/>
          <w:szCs w:val="28"/>
        </w:rPr>
      </w:pPr>
      <w:r w:rsidRPr="001B73F5">
        <w:rPr>
          <w:color w:val="215E99" w:themeColor="text2" w:themeTint="BF"/>
          <w:sz w:val="28"/>
          <w:szCs w:val="28"/>
        </w:rPr>
        <w:t>Map all relevant regimes—antitrust, foreign investment, sector-specific, subsidy controls.</w:t>
      </w:r>
    </w:p>
    <w:p w14:paraId="77CB0610" w14:textId="77777777" w:rsidR="004F31DF" w:rsidRPr="001B73F5" w:rsidRDefault="004F31DF" w:rsidP="00DA32AC">
      <w:pPr>
        <w:jc w:val="both"/>
        <w:rPr>
          <w:color w:val="215E99" w:themeColor="text2" w:themeTint="BF"/>
          <w:sz w:val="28"/>
          <w:szCs w:val="28"/>
        </w:rPr>
      </w:pPr>
      <w:r w:rsidRPr="001B73F5">
        <w:rPr>
          <w:color w:val="215E99" w:themeColor="text2" w:themeTint="BF"/>
          <w:sz w:val="28"/>
          <w:szCs w:val="28"/>
        </w:rPr>
        <w:t>Engage early and proactively with authorities—don’t wait for regulators to come knocking.</w:t>
      </w:r>
    </w:p>
    <w:p w14:paraId="42B479A4" w14:textId="6785262A" w:rsidR="004F31DF" w:rsidRPr="001B73F5" w:rsidRDefault="004F31DF" w:rsidP="00DA32AC">
      <w:pPr>
        <w:jc w:val="both"/>
        <w:rPr>
          <w:color w:val="215E99" w:themeColor="text2" w:themeTint="BF"/>
          <w:sz w:val="28"/>
          <w:szCs w:val="28"/>
        </w:rPr>
      </w:pPr>
      <w:r w:rsidRPr="001B73F5">
        <w:rPr>
          <w:color w:val="215E99" w:themeColor="text2" w:themeTint="BF"/>
          <w:sz w:val="28"/>
          <w:szCs w:val="28"/>
        </w:rPr>
        <w:t xml:space="preserve">Structure the deal smartly—e.g. carve-outs, </w:t>
      </w:r>
      <w:r w:rsidR="009A5617" w:rsidRPr="001B73F5">
        <w:rPr>
          <w:color w:val="215E99" w:themeColor="text2" w:themeTint="BF"/>
          <w:sz w:val="28"/>
          <w:szCs w:val="28"/>
        </w:rPr>
        <w:t>Holdco</w:t>
      </w:r>
      <w:r w:rsidRPr="001B73F5">
        <w:rPr>
          <w:color w:val="215E99" w:themeColor="text2" w:themeTint="BF"/>
          <w:sz w:val="28"/>
          <w:szCs w:val="28"/>
        </w:rPr>
        <w:t xml:space="preserve"> setups, jurisdictional routing.</w:t>
      </w:r>
    </w:p>
    <w:p w14:paraId="20AB5CBA" w14:textId="77777777" w:rsidR="004F31DF" w:rsidRPr="001B73F5" w:rsidRDefault="004F31DF" w:rsidP="00DA32AC">
      <w:pPr>
        <w:jc w:val="both"/>
        <w:rPr>
          <w:color w:val="215E99" w:themeColor="text2" w:themeTint="BF"/>
          <w:sz w:val="28"/>
          <w:szCs w:val="28"/>
        </w:rPr>
      </w:pPr>
      <w:r w:rsidRPr="001B73F5">
        <w:rPr>
          <w:color w:val="215E99" w:themeColor="text2" w:themeTint="BF"/>
          <w:sz w:val="28"/>
          <w:szCs w:val="28"/>
        </w:rPr>
        <w:t>Monitor evolving rules around ESG, digital platforms, and national security.</w:t>
      </w:r>
    </w:p>
    <w:p w14:paraId="6910FE5F" w14:textId="77777777" w:rsidR="004F31DF" w:rsidRPr="001B73F5" w:rsidRDefault="004F31DF" w:rsidP="00DA32AC">
      <w:pPr>
        <w:jc w:val="both"/>
        <w:rPr>
          <w:color w:val="215E99" w:themeColor="text2" w:themeTint="BF"/>
          <w:sz w:val="28"/>
          <w:szCs w:val="28"/>
        </w:rPr>
      </w:pPr>
      <w:r w:rsidRPr="001B73F5">
        <w:rPr>
          <w:color w:val="215E99" w:themeColor="text2" w:themeTint="BF"/>
          <w:sz w:val="28"/>
          <w:szCs w:val="28"/>
        </w:rPr>
        <w:t>In the modern era, legal/regulatory risk is no longer a box to tick—it often dictates whether a deal lives or dies.</w:t>
      </w:r>
    </w:p>
    <w:p w14:paraId="18F4B4F5" w14:textId="77777777" w:rsidR="00DA32AC" w:rsidRPr="001B73F5" w:rsidRDefault="00DA32AC" w:rsidP="00DA32AC">
      <w:pPr>
        <w:jc w:val="both"/>
        <w:rPr>
          <w:color w:val="215E99" w:themeColor="text2" w:themeTint="BF"/>
          <w:sz w:val="28"/>
          <w:szCs w:val="28"/>
        </w:rPr>
      </w:pPr>
      <w:r w:rsidRPr="001B73F5">
        <w:rPr>
          <w:color w:val="215E99" w:themeColor="text2" w:themeTint="BF"/>
          <w:sz w:val="28"/>
          <w:szCs w:val="28"/>
        </w:rPr>
        <w:t>both types of deals with greater confidence and a more streamlined strategy.</w:t>
      </w:r>
    </w:p>
    <w:p w14:paraId="7ECEC99B" w14:textId="50AD49DE" w:rsidR="00DA32AC" w:rsidRPr="001B73F5" w:rsidRDefault="00DA32AC" w:rsidP="00DA32AC">
      <w:pPr>
        <w:rPr>
          <w:b/>
          <w:bCs/>
          <w:color w:val="215E99" w:themeColor="text2" w:themeTint="BF"/>
          <w:sz w:val="28"/>
          <w:szCs w:val="28"/>
        </w:rPr>
      </w:pPr>
      <w:r w:rsidRPr="001B73F5">
        <w:rPr>
          <w:noProof/>
          <w:color w:val="215E99" w:themeColor="text2" w:themeTint="BF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DBF24D4" wp14:editId="182B501E">
            <wp:simplePos x="0" y="0"/>
            <wp:positionH relativeFrom="column">
              <wp:posOffset>9525</wp:posOffset>
            </wp:positionH>
            <wp:positionV relativeFrom="paragraph">
              <wp:posOffset>-2540</wp:posOffset>
            </wp:positionV>
            <wp:extent cx="1022350" cy="1015365"/>
            <wp:effectExtent l="0" t="0" r="6350" b="0"/>
            <wp:wrapSquare wrapText="bothSides"/>
            <wp:docPr id="1027551032" name="Picture 2" descr="A person in a suit and ti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person in a suit and ti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0" cy="1015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193EC3" w14:textId="77777777" w:rsidR="00DA32AC" w:rsidRPr="001B73F5" w:rsidRDefault="00DA32AC" w:rsidP="00DA32AC">
      <w:pPr>
        <w:spacing w:after="0"/>
        <w:rPr>
          <w:i/>
          <w:iCs/>
          <w:color w:val="215E99" w:themeColor="text2" w:themeTint="BF"/>
          <w:lang w:val="pt-PT"/>
        </w:rPr>
      </w:pPr>
      <w:r w:rsidRPr="001B73F5">
        <w:rPr>
          <w:i/>
          <w:iCs/>
          <w:color w:val="215E99" w:themeColor="text2" w:themeTint="BF"/>
          <w:lang w:val="pt-PT"/>
        </w:rPr>
        <w:t>Gundo Kahle, CEO</w:t>
      </w:r>
    </w:p>
    <w:p w14:paraId="731927CB" w14:textId="098997A2" w:rsidR="00DA32AC" w:rsidRPr="001B73F5" w:rsidRDefault="00DA32AC" w:rsidP="00DA32AC">
      <w:pPr>
        <w:spacing w:after="0"/>
        <w:rPr>
          <w:color w:val="215E99" w:themeColor="text2" w:themeTint="BF"/>
        </w:rPr>
      </w:pPr>
      <w:r w:rsidRPr="001B73F5">
        <w:rPr>
          <w:i/>
          <w:iCs/>
          <w:color w:val="215E99" w:themeColor="text2" w:themeTint="BF"/>
          <w:lang w:val="pt-PT"/>
        </w:rPr>
        <w:t>CBA Cross</w:t>
      </w:r>
    </w:p>
    <w:p w14:paraId="28A3A681" w14:textId="77777777" w:rsidR="00624F50" w:rsidRPr="001B73F5" w:rsidRDefault="00624F50" w:rsidP="004F31DF">
      <w:pPr>
        <w:rPr>
          <w:color w:val="215E99" w:themeColor="text2" w:themeTint="BF"/>
          <w:sz w:val="28"/>
          <w:szCs w:val="28"/>
        </w:rPr>
      </w:pPr>
    </w:p>
    <w:sectPr w:rsidR="00624F50" w:rsidRPr="001B73F5" w:rsidSect="009A5617">
      <w:pgSz w:w="11906" w:h="16838"/>
      <w:pgMar w:top="539" w:right="746" w:bottom="18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A6168D"/>
    <w:multiLevelType w:val="multilevel"/>
    <w:tmpl w:val="84763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DE0C17"/>
    <w:multiLevelType w:val="multilevel"/>
    <w:tmpl w:val="0E3C6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32229C"/>
    <w:multiLevelType w:val="multilevel"/>
    <w:tmpl w:val="CAD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91602A"/>
    <w:multiLevelType w:val="multilevel"/>
    <w:tmpl w:val="EDA8E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6928143">
    <w:abstractNumId w:val="0"/>
  </w:num>
  <w:num w:numId="2" w16cid:durableId="971642729">
    <w:abstractNumId w:val="3"/>
  </w:num>
  <w:num w:numId="3" w16cid:durableId="1859155509">
    <w:abstractNumId w:val="2"/>
  </w:num>
  <w:num w:numId="4" w16cid:durableId="187449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DF"/>
    <w:rsid w:val="001B73F5"/>
    <w:rsid w:val="004F31DF"/>
    <w:rsid w:val="005F7709"/>
    <w:rsid w:val="00607AC1"/>
    <w:rsid w:val="00624F50"/>
    <w:rsid w:val="00982962"/>
    <w:rsid w:val="009A5617"/>
    <w:rsid w:val="00AC3BFD"/>
    <w:rsid w:val="00DA32AC"/>
    <w:rsid w:val="00E72032"/>
    <w:rsid w:val="00F62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03BB9"/>
  <w15:chartTrackingRefBased/>
  <w15:docId w15:val="{50EDDEEC-A3A3-4638-9F6A-5D562AAC9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31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31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31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31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31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31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31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31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31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31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31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31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31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31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31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31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31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31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31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31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31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31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31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31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31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31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31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31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31D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F31D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31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2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9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5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2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9d3b22-a9e8-4507-974a-2a8c0e45ed91">
      <Terms xmlns="http://schemas.microsoft.com/office/infopath/2007/PartnerControls"/>
    </lcf76f155ced4ddcb4097134ff3c332f>
    <TaxCatchAll xmlns="e30261cf-abf3-484f-a77d-bf591b31264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0FEB2BB56F784CAE424BE07525571D" ma:contentTypeVersion="15" ma:contentTypeDescription="Create a new document." ma:contentTypeScope="" ma:versionID="f1ed8e21650bb6885b442a6f157d51b9">
  <xsd:schema xmlns:xsd="http://www.w3.org/2001/XMLSchema" xmlns:xs="http://www.w3.org/2001/XMLSchema" xmlns:p="http://schemas.microsoft.com/office/2006/metadata/properties" xmlns:ns2="da9d3b22-a9e8-4507-974a-2a8c0e45ed91" xmlns:ns3="e30261cf-abf3-484f-a77d-bf591b31264e" targetNamespace="http://schemas.microsoft.com/office/2006/metadata/properties" ma:root="true" ma:fieldsID="3a2670045874b3c1131c0e9c3cf2a295" ns2:_="" ns3:_="">
    <xsd:import namespace="da9d3b22-a9e8-4507-974a-2a8c0e45ed91"/>
    <xsd:import namespace="e30261cf-abf3-484f-a77d-bf591b3126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9d3b22-a9e8-4507-974a-2a8c0e45ed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f1a394d-a167-49eb-a3ee-98bd985463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261cf-abf3-484f-a77d-bf591b31264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e9462b3-c47c-4ce1-a690-0d0bac6b1ada}" ma:internalName="TaxCatchAll" ma:showField="CatchAllData" ma:web="e30261cf-abf3-484f-a77d-bf591b3126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90025C-1A48-4447-96C6-814E51C4971C}">
  <ds:schemaRefs>
    <ds:schemaRef ds:uri="http://schemas.microsoft.com/office/2006/metadata/properties"/>
    <ds:schemaRef ds:uri="http://schemas.microsoft.com/office/infopath/2007/PartnerControls"/>
    <ds:schemaRef ds:uri="da9d3b22-a9e8-4507-974a-2a8c0e45ed91"/>
    <ds:schemaRef ds:uri="e30261cf-abf3-484f-a77d-bf591b31264e"/>
  </ds:schemaRefs>
</ds:datastoreItem>
</file>

<file path=customXml/itemProps2.xml><?xml version="1.0" encoding="utf-8"?>
<ds:datastoreItem xmlns:ds="http://schemas.openxmlformats.org/officeDocument/2006/customXml" ds:itemID="{9A011BD4-02F9-41DE-9D44-E489FCB1E6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77F106-AD31-451E-AB8F-86BC64BC1D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9d3b22-a9e8-4507-974a-2a8c0e45ed91"/>
    <ds:schemaRef ds:uri="e30261cf-abf3-484f-a77d-bf591b3126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Gundo Kahle</dc:creator>
  <cp:keywords/>
  <dc:description/>
  <cp:lastModifiedBy>Dominic Zingale</cp:lastModifiedBy>
  <cp:revision>3</cp:revision>
  <dcterms:created xsi:type="dcterms:W3CDTF">2025-07-13T13:45:00Z</dcterms:created>
  <dcterms:modified xsi:type="dcterms:W3CDTF">2025-08-08T16:37:00Z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0x0101003E0FEB2BB56F784CAE424BE07525571D</vt:lpwstr>
  </property>
  <property fmtid="{D5CDD505-2E9C-101B-9397-08002B2CF9AE}" pid="3" name="MediaServiceImageTags">
    <vt:lpwstr/>
  </property>
</Properties>
</file>