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1C37E" w14:textId="77777777" w:rsidR="003B6CCF" w:rsidRDefault="00D52F59">
      <w:pPr>
        <w:pStyle w:val="Body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OPPORTUNITIES FOR SERVICE AVAILABLE TO</w:t>
      </w:r>
    </w:p>
    <w:p w14:paraId="68E59442" w14:textId="77777777" w:rsidR="003B6CCF" w:rsidRDefault="00D52F59">
      <w:pPr>
        <w:pStyle w:val="Body"/>
        <w:jc w:val="both"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  <w:sz w:val="28"/>
          <w:szCs w:val="28"/>
        </w:rPr>
        <w:t xml:space="preserve">DEFEND ACCUSED IN FEDERAL CRIMINAL COURT </w:t>
      </w:r>
      <w:r>
        <w:rPr>
          <w:rFonts w:ascii="Garamond" w:hAnsi="Garamond"/>
        </w:rPr>
        <w:t xml:space="preserve"> </w:t>
      </w:r>
    </w:p>
    <w:p w14:paraId="4A759FDD" w14:textId="77777777" w:rsidR="003B6CCF" w:rsidRDefault="003B6CCF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</w:p>
    <w:p w14:paraId="1D82ACBE" w14:textId="77777777" w:rsidR="003B6CCF" w:rsidRDefault="00D52F59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 xml:space="preserve">The U.S. District Court is looking for candidates interested in serving on its Criminal Justice Act Panel.  The CJA Panel is the group of lawyers qualified to accept </w:t>
      </w:r>
      <w:r>
        <w:rPr>
          <w:rFonts w:ascii="Garamond" w:eastAsia="Garamond" w:hAnsi="Garamond" w:cs="Garamond"/>
          <w:sz w:val="24"/>
          <w:szCs w:val="24"/>
        </w:rPr>
        <w:t>appointments to defend individuals accused of crime in federal court.  According to Patrick M. Livingston, the Western District of Pennsylvania</w:t>
      </w:r>
      <w:r>
        <w:rPr>
          <w:rFonts w:ascii="Garamond" w:hAnsi="Garamond"/>
          <w:sz w:val="24"/>
          <w:szCs w:val="24"/>
        </w:rPr>
        <w:t>’</w:t>
      </w:r>
      <w:r>
        <w:rPr>
          <w:rFonts w:ascii="Garamond" w:hAnsi="Garamond"/>
          <w:sz w:val="24"/>
          <w:szCs w:val="24"/>
        </w:rPr>
        <w:t xml:space="preserve">s CJA Panel Representative, </w:t>
      </w:r>
      <w:r>
        <w:rPr>
          <w:rFonts w:ascii="Garamond" w:hAnsi="Garamond"/>
          <w:sz w:val="24"/>
          <w:szCs w:val="24"/>
          <w:rtl/>
          <w:lang w:val="ar-SA"/>
        </w:rPr>
        <w:t>“</w:t>
      </w:r>
      <w:r>
        <w:rPr>
          <w:rFonts w:ascii="Garamond" w:hAnsi="Garamond"/>
          <w:sz w:val="24"/>
          <w:szCs w:val="24"/>
        </w:rPr>
        <w:t>Panel lawyers are the unsung heroes of the criminal justice system.   They battle f</w:t>
      </w:r>
      <w:r>
        <w:rPr>
          <w:rFonts w:ascii="Garamond" w:hAnsi="Garamond"/>
          <w:sz w:val="24"/>
          <w:szCs w:val="24"/>
        </w:rPr>
        <w:t>or justice in federal court, advocating for those who would otherwise be unable to afford quality representation, and making sure that frequently drowned-out voices are heard in Western Pennsylvania</w:t>
      </w:r>
      <w:r>
        <w:rPr>
          <w:rFonts w:ascii="Garamond" w:hAnsi="Garamond"/>
          <w:sz w:val="24"/>
          <w:szCs w:val="24"/>
        </w:rPr>
        <w:t>’</w:t>
      </w:r>
      <w:r>
        <w:rPr>
          <w:rFonts w:ascii="Garamond" w:hAnsi="Garamond"/>
          <w:sz w:val="24"/>
          <w:szCs w:val="24"/>
        </w:rPr>
        <w:t>s federal courts</w:t>
      </w:r>
      <w:r>
        <w:rPr>
          <w:rFonts w:ascii="Garamond" w:hAnsi="Garamond"/>
          <w:sz w:val="24"/>
          <w:szCs w:val="24"/>
        </w:rPr>
        <w:t>”</w:t>
      </w:r>
      <w:r>
        <w:rPr>
          <w:rFonts w:ascii="Garamond" w:hAnsi="Garamond"/>
          <w:sz w:val="24"/>
          <w:szCs w:val="24"/>
        </w:rPr>
        <w:t>.</w:t>
      </w:r>
    </w:p>
    <w:p w14:paraId="3929A521" w14:textId="77777777" w:rsidR="003B6CCF" w:rsidRDefault="003B6CCF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</w:p>
    <w:p w14:paraId="0DB0ADFF" w14:textId="77777777" w:rsidR="003B6CCF" w:rsidRDefault="00D52F59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The District Court is working active</w:t>
      </w:r>
      <w:r>
        <w:rPr>
          <w:rFonts w:ascii="Garamond" w:eastAsia="Garamond" w:hAnsi="Garamond" w:cs="Garamond"/>
          <w:sz w:val="24"/>
          <w:szCs w:val="24"/>
        </w:rPr>
        <w:t>ly to expand opportunities for Panel service, consistent with the U.S. Courts</w:t>
      </w:r>
      <w:r>
        <w:rPr>
          <w:rFonts w:ascii="Garamond" w:hAnsi="Garamond"/>
          <w:sz w:val="24"/>
          <w:szCs w:val="24"/>
        </w:rPr>
        <w:t xml:space="preserve">’ </w:t>
      </w:r>
      <w:r>
        <w:rPr>
          <w:rFonts w:ascii="Garamond" w:hAnsi="Garamond"/>
          <w:sz w:val="24"/>
          <w:szCs w:val="24"/>
        </w:rPr>
        <w:t>2020 strategic plan.  In the plan, judges acknowledged that they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>can retain public trust and confidence</w:t>
      </w:r>
      <w:r>
        <w:rPr>
          <w:rFonts w:ascii="Garamond" w:hAnsi="Garamond"/>
          <w:sz w:val="24"/>
          <w:szCs w:val="24"/>
        </w:rPr>
        <w:t xml:space="preserve">” </w:t>
      </w:r>
      <w:r>
        <w:rPr>
          <w:rFonts w:ascii="Garamond" w:hAnsi="Garamond"/>
          <w:sz w:val="24"/>
          <w:szCs w:val="24"/>
        </w:rPr>
        <w:t xml:space="preserve">only if the justice system </w:t>
      </w:r>
      <w:r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>is comprised of a diverse complement of hig</w:t>
      </w:r>
      <w:r>
        <w:rPr>
          <w:rFonts w:ascii="Garamond" w:hAnsi="Garamond"/>
          <w:sz w:val="24"/>
          <w:szCs w:val="24"/>
        </w:rPr>
        <w:t>hly competent judges, employees, and CJA attorneys. It cannot attract and retain the most capable people from all parts of society, nor can it keep the public</w:t>
      </w:r>
      <w:r>
        <w:rPr>
          <w:rFonts w:ascii="Garamond" w:hAnsi="Garamond"/>
          <w:sz w:val="24"/>
          <w:szCs w:val="24"/>
          <w:rtl/>
        </w:rPr>
        <w:t>’</w:t>
      </w:r>
      <w:r>
        <w:rPr>
          <w:rFonts w:ascii="Garamond" w:hAnsi="Garamond"/>
          <w:sz w:val="24"/>
          <w:szCs w:val="24"/>
        </w:rPr>
        <w:t>s trust and confidence, unless it maintains a diverse and exemplary workplace in which all are tr</w:t>
      </w:r>
      <w:r>
        <w:rPr>
          <w:rFonts w:ascii="Garamond" w:hAnsi="Garamond"/>
          <w:sz w:val="24"/>
          <w:szCs w:val="24"/>
        </w:rPr>
        <w:t>eated with dignity and respect and are valued for their contributions regardless of race, color, sex, gender, gender identity, pregnancy, sexual orientation, religion, national origin, age, or disability.</w:t>
      </w:r>
      <w:r>
        <w:rPr>
          <w:rFonts w:ascii="Garamond" w:hAnsi="Garamond"/>
          <w:sz w:val="24"/>
          <w:szCs w:val="24"/>
        </w:rPr>
        <w:t>”</w:t>
      </w:r>
    </w:p>
    <w:p w14:paraId="4E0FBC4B" w14:textId="77777777" w:rsidR="003B6CCF" w:rsidRDefault="003B6CCF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</w:p>
    <w:p w14:paraId="4CB76CFA" w14:textId="77777777" w:rsidR="003B6CCF" w:rsidRDefault="00D52F59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To serve on the Panel, a lawyer must have two ye</w:t>
      </w:r>
      <w:r>
        <w:rPr>
          <w:rFonts w:ascii="Garamond" w:eastAsia="Garamond" w:hAnsi="Garamond" w:cs="Garamond"/>
          <w:sz w:val="24"/>
          <w:szCs w:val="24"/>
        </w:rPr>
        <w:t>ars in a clerkship, public defender</w:t>
      </w:r>
      <w:r>
        <w:rPr>
          <w:rFonts w:ascii="Garamond" w:hAnsi="Garamond"/>
          <w:sz w:val="24"/>
          <w:szCs w:val="24"/>
        </w:rPr>
        <w:t>’</w:t>
      </w:r>
      <w:r>
        <w:rPr>
          <w:rFonts w:ascii="Garamond" w:hAnsi="Garamond"/>
          <w:sz w:val="24"/>
          <w:szCs w:val="24"/>
        </w:rPr>
        <w:t>s office or prosecutor</w:t>
      </w:r>
      <w:r>
        <w:rPr>
          <w:rFonts w:ascii="Garamond" w:hAnsi="Garamond"/>
          <w:sz w:val="24"/>
          <w:szCs w:val="24"/>
        </w:rPr>
        <w:t>’</w:t>
      </w:r>
      <w:r>
        <w:rPr>
          <w:rFonts w:ascii="Garamond" w:hAnsi="Garamond"/>
          <w:sz w:val="24"/>
          <w:szCs w:val="24"/>
        </w:rPr>
        <w:t>s office or three years in a private law firm in which at least one-quarter of the practice is committed to defending individuals accused of crime.   Applicants must also be trained in the United S</w:t>
      </w:r>
      <w:r>
        <w:rPr>
          <w:rFonts w:ascii="Garamond" w:hAnsi="Garamond"/>
          <w:sz w:val="24"/>
          <w:szCs w:val="24"/>
        </w:rPr>
        <w:t xml:space="preserve">tates Sentencing Guidelines.  </w:t>
      </w:r>
    </w:p>
    <w:p w14:paraId="33DC8398" w14:textId="77777777" w:rsidR="003B6CCF" w:rsidRDefault="003B6CCF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</w:p>
    <w:p w14:paraId="2DB130B7" w14:textId="77777777" w:rsidR="003B6CCF" w:rsidRDefault="00D52F59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 xml:space="preserve">As of the beginning of 2021, Panel lawyers are paid at an hourly rate of $155.00, and </w:t>
      </w:r>
      <w:proofErr w:type="gramStart"/>
      <w:r>
        <w:rPr>
          <w:rFonts w:ascii="Garamond" w:eastAsia="Garamond" w:hAnsi="Garamond" w:cs="Garamond"/>
          <w:sz w:val="24"/>
          <w:szCs w:val="24"/>
        </w:rPr>
        <w:t>are able to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obtain investigators, consultants and experts to support the defense.  In addition, they have access to criminal defense reso</w:t>
      </w:r>
      <w:r>
        <w:rPr>
          <w:rFonts w:ascii="Garamond" w:eastAsia="Garamond" w:hAnsi="Garamond" w:cs="Garamond"/>
          <w:sz w:val="24"/>
          <w:szCs w:val="24"/>
        </w:rPr>
        <w:t xml:space="preserve">urces on </w:t>
      </w:r>
      <w:hyperlink r:id="rId6" w:history="1">
        <w:r>
          <w:rPr>
            <w:rStyle w:val="Hyperlink0"/>
            <w:rFonts w:ascii="Garamond" w:hAnsi="Garamond"/>
            <w:sz w:val="24"/>
            <w:szCs w:val="24"/>
          </w:rPr>
          <w:t>fd.org</w:t>
        </w:r>
      </w:hyperlink>
      <w:r>
        <w:rPr>
          <w:rFonts w:ascii="Garamond" w:hAnsi="Garamond"/>
          <w:sz w:val="24"/>
          <w:szCs w:val="24"/>
        </w:rPr>
        <w:t xml:space="preserve"> and are eligible to participate in excellent continuing education opportunities, at free or largely discounted rates, through the Defender Services Office of the Administrative Office of the United States Courts.</w:t>
      </w:r>
    </w:p>
    <w:p w14:paraId="01A6B5CD" w14:textId="77777777" w:rsidR="003B6CCF" w:rsidRDefault="003B6CCF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</w:p>
    <w:p w14:paraId="73991A5D" w14:textId="77777777" w:rsidR="003B6CCF" w:rsidRDefault="00D52F59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Lawyers interested in serving but who ei</w:t>
      </w:r>
      <w:r>
        <w:rPr>
          <w:rFonts w:ascii="Garamond" w:eastAsia="Garamond" w:hAnsi="Garamond" w:cs="Garamond"/>
          <w:sz w:val="24"/>
          <w:szCs w:val="24"/>
        </w:rPr>
        <w:t>ther do not meet eligibility standards or lack federal criminal experience, may gain experience by serving in a mentoring program, in which they are paired with more experienced criminal defense lawyers, including assistant federal defenders, in particular</w:t>
      </w:r>
      <w:r>
        <w:rPr>
          <w:rFonts w:ascii="Garamond" w:eastAsia="Garamond" w:hAnsi="Garamond" w:cs="Garamond"/>
          <w:sz w:val="24"/>
          <w:szCs w:val="24"/>
        </w:rPr>
        <w:t xml:space="preserve"> representations.   Mentees participate on a </w:t>
      </w:r>
      <w:r>
        <w:rPr>
          <w:rFonts w:ascii="Garamond" w:hAnsi="Garamond"/>
          <w:i/>
          <w:iCs/>
          <w:sz w:val="24"/>
          <w:szCs w:val="24"/>
        </w:rPr>
        <w:t xml:space="preserve">pro bono </w:t>
      </w:r>
      <w:proofErr w:type="spellStart"/>
      <w:r>
        <w:rPr>
          <w:rFonts w:ascii="Garamond" w:hAnsi="Garamond"/>
          <w:i/>
          <w:iCs/>
          <w:sz w:val="24"/>
          <w:szCs w:val="24"/>
        </w:rPr>
        <w:t>publico</w:t>
      </w:r>
      <w:proofErr w:type="spellEnd"/>
      <w:r>
        <w:rPr>
          <w:rFonts w:ascii="Garamond" w:hAnsi="Garamond"/>
          <w:i/>
          <w:iCs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reduced fee basis while they are completing the mentoring program.</w:t>
      </w:r>
    </w:p>
    <w:p w14:paraId="53955806" w14:textId="77777777" w:rsidR="003B6CCF" w:rsidRDefault="003B6CCF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</w:p>
    <w:p w14:paraId="235EB553" w14:textId="77777777" w:rsidR="003B6CCF" w:rsidRDefault="00D52F59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For further information, interested lawyers can access the Criminal Justice Act page on the District Court</w:t>
      </w:r>
      <w:r>
        <w:rPr>
          <w:rFonts w:ascii="Garamond" w:hAnsi="Garamond"/>
          <w:sz w:val="24"/>
          <w:szCs w:val="24"/>
        </w:rPr>
        <w:t>’</w:t>
      </w:r>
      <w:r>
        <w:rPr>
          <w:rFonts w:ascii="Garamond" w:hAnsi="Garamond"/>
          <w:sz w:val="24"/>
          <w:szCs w:val="24"/>
        </w:rPr>
        <w:t xml:space="preserve">s website, </w:t>
      </w:r>
      <w:hyperlink r:id="rId7" w:history="1">
        <w:r>
          <w:rPr>
            <w:rStyle w:val="Hyperlink0"/>
            <w:rFonts w:ascii="Garamond" w:hAnsi="Garamond"/>
            <w:sz w:val="24"/>
            <w:szCs w:val="24"/>
          </w:rPr>
          <w:t>https://www.pawd.uscourts.gov/criminal-justice-act-info</w:t>
        </w:r>
      </w:hyperlink>
      <w:r>
        <w:rPr>
          <w:rFonts w:ascii="Garamond" w:hAnsi="Garamond"/>
          <w:sz w:val="24"/>
          <w:szCs w:val="24"/>
        </w:rPr>
        <w:t xml:space="preserve"> or contact Tina </w:t>
      </w:r>
      <w:proofErr w:type="spellStart"/>
      <w:r>
        <w:rPr>
          <w:rFonts w:ascii="Garamond" w:hAnsi="Garamond"/>
          <w:sz w:val="24"/>
          <w:szCs w:val="24"/>
        </w:rPr>
        <w:t>Famiglietti</w:t>
      </w:r>
      <w:proofErr w:type="spellEnd"/>
      <w:r>
        <w:rPr>
          <w:rFonts w:ascii="Garamond" w:hAnsi="Garamond"/>
          <w:sz w:val="24"/>
          <w:szCs w:val="24"/>
        </w:rPr>
        <w:t xml:space="preserve"> at the Office of the Federal Defender, </w:t>
      </w:r>
      <w:hyperlink r:id="rId8" w:history="1">
        <w:r>
          <w:rPr>
            <w:rStyle w:val="Hyperlink0"/>
            <w:rFonts w:ascii="Garamond" w:hAnsi="Garamond"/>
            <w:sz w:val="24"/>
            <w:szCs w:val="24"/>
          </w:rPr>
          <w:t>tina_famiglietti@fd.org</w:t>
        </w:r>
      </w:hyperlink>
      <w:r>
        <w:rPr>
          <w:rFonts w:ascii="Garamond" w:hAnsi="Garamond"/>
          <w:sz w:val="24"/>
          <w:szCs w:val="24"/>
        </w:rPr>
        <w:t xml:space="preserve"> or Mr. Livingston at </w:t>
      </w:r>
      <w:hyperlink r:id="rId9" w:history="1">
        <w:r>
          <w:rPr>
            <w:rStyle w:val="Hyperlink0"/>
            <w:rFonts w:ascii="Garamond" w:hAnsi="Garamond"/>
            <w:sz w:val="24"/>
            <w:szCs w:val="24"/>
          </w:rPr>
          <w:t>mick@pmlivingston.com</w:t>
        </w:r>
      </w:hyperlink>
      <w:r>
        <w:rPr>
          <w:rFonts w:ascii="Garamond" w:hAnsi="Garamond"/>
          <w:sz w:val="24"/>
          <w:szCs w:val="24"/>
        </w:rPr>
        <w:t>.</w:t>
      </w:r>
    </w:p>
    <w:p w14:paraId="035EEE26" w14:textId="77777777" w:rsidR="003B6CCF" w:rsidRDefault="003B6CCF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</w:p>
    <w:p w14:paraId="6BE2D5BC" w14:textId="77777777" w:rsidR="003B6CCF" w:rsidRDefault="003B6CCF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</w:p>
    <w:p w14:paraId="782E7465" w14:textId="77777777" w:rsidR="003B6CCF" w:rsidRDefault="003B6CCF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</w:p>
    <w:p w14:paraId="2934447F" w14:textId="77777777" w:rsidR="003B6CCF" w:rsidRDefault="003B6CCF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</w:p>
    <w:p w14:paraId="55349513" w14:textId="77777777" w:rsidR="003B6CCF" w:rsidRDefault="003B6CCF">
      <w:pPr>
        <w:pStyle w:val="Body"/>
        <w:jc w:val="both"/>
        <w:rPr>
          <w:rFonts w:ascii="Garamond" w:eastAsia="Garamond" w:hAnsi="Garamond" w:cs="Garamond"/>
          <w:sz w:val="24"/>
          <w:szCs w:val="24"/>
        </w:rPr>
      </w:pPr>
    </w:p>
    <w:p w14:paraId="42D9B70D" w14:textId="77777777" w:rsidR="003B6CCF" w:rsidRDefault="003B6CCF">
      <w:pPr>
        <w:pStyle w:val="Body"/>
        <w:jc w:val="both"/>
      </w:pPr>
    </w:p>
    <w:sectPr w:rsidR="003B6CCF">
      <w:headerReference w:type="default" r:id="rId10"/>
      <w:footerReference w:type="default" r:id="rId11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74114" w14:textId="77777777" w:rsidR="00000000" w:rsidRDefault="00D52F59">
      <w:r>
        <w:separator/>
      </w:r>
    </w:p>
  </w:endnote>
  <w:endnote w:type="continuationSeparator" w:id="0">
    <w:p w14:paraId="2598F04E" w14:textId="77777777" w:rsidR="00000000" w:rsidRDefault="00D5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5C45" w14:textId="77777777" w:rsidR="003B6CCF" w:rsidRDefault="003B6C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3D5F" w14:textId="77777777" w:rsidR="00000000" w:rsidRDefault="00D52F59">
      <w:r>
        <w:separator/>
      </w:r>
    </w:p>
  </w:footnote>
  <w:footnote w:type="continuationSeparator" w:id="0">
    <w:p w14:paraId="15B9CBCF" w14:textId="77777777" w:rsidR="00000000" w:rsidRDefault="00D52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115B" w14:textId="77777777" w:rsidR="003B6CCF" w:rsidRDefault="003B6C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CCF"/>
    <w:rsid w:val="003B6CCF"/>
    <w:rsid w:val="00D5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D1C51"/>
  <w15:docId w15:val="{C23BDA1A-B94F-427C-9B16-54269898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a_famiglietti@fd.or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pawd.uscourts.gov/criminal-justice-act-inf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d.or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ick@pmlivingston.com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2727</Characters>
  <Application>Microsoft Office Word</Application>
  <DocSecurity>4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Gallagher Edwards</dc:creator>
  <cp:lastModifiedBy>Megan</cp:lastModifiedBy>
  <cp:revision>2</cp:revision>
  <dcterms:created xsi:type="dcterms:W3CDTF">2021-09-04T19:02:00Z</dcterms:created>
  <dcterms:modified xsi:type="dcterms:W3CDTF">2021-09-04T19:02:00Z</dcterms:modified>
</cp:coreProperties>
</file>