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C7D51" w14:textId="77777777" w:rsidR="006D1C83" w:rsidRDefault="006D1C83" w:rsidP="006D1C83">
      <w:pPr>
        <w:jc w:val="center"/>
        <w:rPr>
          <w:rFonts w:ascii="Times New Roman" w:hAnsi="Times New Roman" w:cs="Times New Roman"/>
          <w:color w:val="333333"/>
        </w:rPr>
      </w:pPr>
      <w:r w:rsidRPr="006D1C83">
        <w:rPr>
          <w:rFonts w:ascii="Times New Roman" w:hAnsi="Times New Roman" w:cs="Times New Roman"/>
          <w:b/>
          <w:bCs/>
          <w:color w:val="333333"/>
        </w:rPr>
        <w:t>John Barton’s Scheme for Reading the Bible</w:t>
      </w:r>
    </w:p>
    <w:p w14:paraId="69407CFE" w14:textId="74A7F1EB" w:rsidR="006D1C83" w:rsidRDefault="006D1C83" w:rsidP="006D1C83">
      <w:pPr>
        <w:jc w:val="center"/>
        <w:rPr>
          <w:rFonts w:ascii="Times New Roman" w:hAnsi="Times New Roman" w:cs="Times New Roman"/>
          <w:b/>
          <w:color w:val="333333"/>
        </w:rPr>
      </w:pPr>
      <w:r>
        <w:rPr>
          <w:rFonts w:ascii="Times New Roman" w:hAnsi="Times New Roman" w:cs="Times New Roman"/>
          <w:color w:val="333333"/>
        </w:rPr>
        <w:t xml:space="preserve">(excerpts from an article by John Barton in </w:t>
      </w:r>
      <w:r>
        <w:rPr>
          <w:rFonts w:ascii="Times New Roman" w:hAnsi="Times New Roman" w:cs="Times New Roman"/>
          <w:i/>
          <w:iCs/>
          <w:color w:val="333333"/>
        </w:rPr>
        <w:t xml:space="preserve">The Tablet, </w:t>
      </w:r>
      <w:r>
        <w:rPr>
          <w:rFonts w:ascii="Times New Roman" w:hAnsi="Times New Roman" w:cs="Times New Roman"/>
          <w:color w:val="333333"/>
        </w:rPr>
        <w:t>October 10, 2019)</w:t>
      </w:r>
      <w:r w:rsidRPr="006D1C83">
        <w:rPr>
          <w:rFonts w:ascii="Times New Roman" w:hAnsi="Times New Roman" w:cs="Times New Roman"/>
          <w:color w:val="333333"/>
        </w:rPr>
        <w:br/>
      </w:r>
      <w:r>
        <w:rPr>
          <w:rFonts w:ascii="Times New Roman" w:hAnsi="Times New Roman" w:cs="Times New Roman"/>
          <w:color w:val="333333"/>
        </w:rPr>
        <w:br/>
      </w:r>
      <w:r>
        <w:rPr>
          <w:rFonts w:ascii="Times New Roman" w:hAnsi="Times New Roman" w:cs="Times New Roman"/>
          <w:b/>
          <w:color w:val="333333"/>
        </w:rPr>
        <w:t>1. Start with the New Testament: that means beginning with St Paul:</w:t>
      </w:r>
    </w:p>
    <w:p w14:paraId="6A0817E7" w14:textId="1961C5B2" w:rsidR="006D1C83" w:rsidRDefault="006D1C83" w:rsidP="006D1C83">
      <w:r>
        <w:rPr>
          <w:rFonts w:ascii="Times New Roman" w:hAnsi="Times New Roman" w:cs="Times New Roman"/>
          <w:color w:val="333333"/>
        </w:rPr>
        <w:t>I suggest you begin with the books that make up the New Testament, which give us the core and cent</w:t>
      </w:r>
      <w:r>
        <w:rPr>
          <w:rFonts w:ascii="Times New Roman" w:hAnsi="Times New Roman" w:cs="Times New Roman"/>
          <w:color w:val="333333"/>
        </w:rPr>
        <w:t>er</w:t>
      </w:r>
      <w:r>
        <w:rPr>
          <w:rFonts w:ascii="Times New Roman" w:hAnsi="Times New Roman" w:cs="Times New Roman"/>
          <w:color w:val="333333"/>
        </w:rPr>
        <w:t xml:space="preserve"> of the faith. The most interesting route lies in starting with those written first and then passing from one to the other in roughly chronological order. </w:t>
      </w:r>
      <w:r>
        <w:rPr>
          <w:rFonts w:ascii="Times New Roman" w:hAnsi="Times New Roman" w:cs="Times New Roman"/>
          <w:b/>
          <w:color w:val="333333"/>
        </w:rPr>
        <w:t>That means beginning with St Paul, who wrote about two decades after the crucifixion of Jesus. </w:t>
      </w:r>
      <w:r>
        <w:rPr>
          <w:rFonts w:ascii="Times New Roman" w:hAnsi="Times New Roman" w:cs="Times New Roman"/>
          <w:b/>
          <w:color w:val="333333"/>
        </w:rPr>
        <w:br/>
      </w:r>
      <w:r>
        <w:rPr>
          <w:rFonts w:ascii="Times New Roman" w:hAnsi="Times New Roman" w:cs="Times New Roman"/>
          <w:b/>
          <w:color w:val="333333"/>
        </w:rPr>
        <w:br/>
      </w:r>
      <w:r>
        <w:rPr>
          <w:rFonts w:ascii="Times New Roman" w:hAnsi="Times New Roman" w:cs="Times New Roman"/>
          <w:color w:val="333333"/>
        </w:rPr>
        <w:t xml:space="preserve">In our New Testament, Paul’s letters are arranged in order of length, with the longest first.  Paul’s first letter – and so the first piece of Christian writing we possess – is 1 Thessalonians. </w:t>
      </w:r>
      <w:r>
        <w:rPr>
          <w:rFonts w:ascii="Times New Roman" w:hAnsi="Times New Roman" w:cs="Times New Roman"/>
          <w:b/>
          <w:color w:val="333333"/>
        </w:rPr>
        <w:t>But a good place to plunge in might be with another early letter, written to the Galatians.</w:t>
      </w:r>
      <w:r>
        <w:rPr>
          <w:rFonts w:ascii="Times New Roman" w:hAnsi="Times New Roman" w:cs="Times New Roman"/>
          <w:b/>
          <w:color w:val="333333"/>
        </w:rPr>
        <w:br/>
      </w:r>
    </w:p>
    <w:p w14:paraId="5389EDE1" w14:textId="77777777" w:rsidR="006D1C83" w:rsidRDefault="006D1C83" w:rsidP="006D1C83">
      <w:pPr>
        <w:rPr>
          <w:rFonts w:ascii="Times New Roman" w:hAnsi="Times New Roman" w:cs="Times New Roman"/>
          <w:color w:val="333333"/>
        </w:rPr>
      </w:pPr>
      <w:r>
        <w:rPr>
          <w:rFonts w:ascii="Times New Roman" w:hAnsi="Times New Roman" w:cs="Times New Roman"/>
          <w:b/>
          <w:color w:val="333333"/>
        </w:rPr>
        <w:t>In Galatians, written to a church he had founded in what is now Turkey, Paul already provides the main themes of the Christian Gospel: that Christ died to take away sin and rose from the dead, and that salvation lies in faith in him and membership of his Church, and in living a moral and upright life.</w:t>
      </w:r>
      <w:r>
        <w:rPr>
          <w:rFonts w:ascii="Times New Roman" w:hAnsi="Times New Roman" w:cs="Times New Roman"/>
          <w:color w:val="333333"/>
        </w:rPr>
        <w:t xml:space="preserve">  </w:t>
      </w:r>
      <w:r>
        <w:rPr>
          <w:rFonts w:ascii="Times New Roman" w:hAnsi="Times New Roman" w:cs="Times New Roman"/>
          <w:color w:val="333333"/>
        </w:rPr>
        <w:br/>
      </w:r>
    </w:p>
    <w:p w14:paraId="6D77BF54" w14:textId="66282EA3" w:rsidR="006D1C83" w:rsidRDefault="006D1C83" w:rsidP="006D1C83">
      <w:pPr>
        <w:rPr>
          <w:rFonts w:ascii="Times New Roman" w:hAnsi="Times New Roman" w:cs="Times New Roman"/>
          <w:color w:val="333333"/>
        </w:rPr>
      </w:pPr>
      <w:r>
        <w:rPr>
          <w:rFonts w:ascii="Times New Roman" w:hAnsi="Times New Roman" w:cs="Times New Roman"/>
          <w:color w:val="333333"/>
        </w:rPr>
        <w:t>By starting the journey through the Bible with Paul’s letter to the Galatians, you realize that the central elements of the Christian Gospel were already clear in the middle of the first century</w:t>
      </w:r>
      <w:r>
        <w:rPr>
          <w:rFonts w:ascii="Times New Roman" w:hAnsi="Times New Roman" w:cs="Times New Roman"/>
          <w:color w:val="333333"/>
        </w:rPr>
        <w:t xml:space="preserve"> AD</w:t>
      </w:r>
      <w:r>
        <w:rPr>
          <w:rFonts w:ascii="Times New Roman" w:hAnsi="Times New Roman" w:cs="Times New Roman"/>
          <w:color w:val="333333"/>
        </w:rPr>
        <w:t xml:space="preserve">, and that even then there were theological and social questions that were hotly disputed. </w:t>
      </w:r>
    </w:p>
    <w:p w14:paraId="25F3FD9E" w14:textId="264C4718" w:rsidR="006D1C83" w:rsidRDefault="006D1C83" w:rsidP="006D1C83">
      <w:pPr>
        <w:rPr>
          <w:rFonts w:ascii="Times New Roman" w:hAnsi="Times New Roman" w:cs="Times New Roman"/>
          <w:color w:val="333333"/>
        </w:rPr>
      </w:pPr>
      <w:r>
        <w:rPr>
          <w:rFonts w:ascii="Times New Roman" w:hAnsi="Times New Roman" w:cs="Times New Roman"/>
          <w:color w:val="333333"/>
        </w:rPr>
        <w:t>In Paul’s letters we see the Church coming to faith through dispute and argument</w:t>
      </w:r>
      <w:r>
        <w:rPr>
          <w:rFonts w:ascii="Times New Roman" w:hAnsi="Times New Roman" w:cs="Times New Roman"/>
          <w:color w:val="333333"/>
        </w:rPr>
        <w:t xml:space="preserve"> . . . </w:t>
      </w:r>
      <w:r>
        <w:rPr>
          <w:rFonts w:ascii="Times New Roman" w:hAnsi="Times New Roman" w:cs="Times New Roman"/>
          <w:color w:val="333333"/>
        </w:rPr>
        <w:t xml:space="preserve"> In a slightly later letter, </w:t>
      </w:r>
      <w:r>
        <w:rPr>
          <w:rFonts w:ascii="Times New Roman" w:hAnsi="Times New Roman" w:cs="Times New Roman"/>
          <w:b/>
          <w:color w:val="333333"/>
        </w:rPr>
        <w:t>1 Corinthians</w:t>
      </w:r>
      <w:r>
        <w:rPr>
          <w:rFonts w:ascii="Times New Roman" w:hAnsi="Times New Roman" w:cs="Times New Roman"/>
          <w:color w:val="333333"/>
        </w:rPr>
        <w:t xml:space="preserve">, we learn that there were, on the other hand, elements of the faith that had been handed down to him by even earlier believers and which he never doubted. One is the truth of Christ’s resurrection, and another is the centrality of the Eucharist. </w:t>
      </w:r>
      <w:r>
        <w:rPr>
          <w:rFonts w:ascii="Times New Roman" w:hAnsi="Times New Roman" w:cs="Times New Roman"/>
          <w:b/>
          <w:color w:val="333333"/>
        </w:rPr>
        <w:t>If we had only Galatians and 1 Corinthians, we would already know a great deal about the earliest Christians.</w:t>
      </w:r>
      <w:r>
        <w:rPr>
          <w:rFonts w:ascii="Times New Roman" w:hAnsi="Times New Roman" w:cs="Times New Roman"/>
          <w:b/>
          <w:color w:val="333333"/>
        </w:rPr>
        <w:br/>
      </w:r>
      <w:r>
        <w:rPr>
          <w:rFonts w:ascii="Times New Roman" w:hAnsi="Times New Roman" w:cs="Times New Roman"/>
          <w:color w:val="333333"/>
        </w:rPr>
        <w:br/>
      </w:r>
      <w:r>
        <w:rPr>
          <w:rFonts w:ascii="Times New Roman" w:hAnsi="Times New Roman" w:cs="Times New Roman"/>
          <w:b/>
          <w:color w:val="333333"/>
        </w:rPr>
        <w:t xml:space="preserve">Next </w:t>
      </w:r>
      <w:r>
        <w:rPr>
          <w:rFonts w:ascii="Times New Roman" w:hAnsi="Times New Roman" w:cs="Times New Roman"/>
          <w:b/>
          <w:color w:val="333333"/>
        </w:rPr>
        <w:t>read</w:t>
      </w:r>
      <w:r>
        <w:rPr>
          <w:rFonts w:ascii="Times New Roman" w:hAnsi="Times New Roman" w:cs="Times New Roman"/>
          <w:b/>
          <w:color w:val="333333"/>
        </w:rPr>
        <w:t xml:space="preserve"> 2 Corinthians, Romans, Philippians, and then Philemon</w:t>
      </w:r>
      <w:r>
        <w:rPr>
          <w:rFonts w:ascii="Times New Roman" w:hAnsi="Times New Roman" w:cs="Times New Roman"/>
          <w:color w:val="333333"/>
        </w:rPr>
        <w:t>. Romans develops the themes of Galatians</w:t>
      </w:r>
      <w:r>
        <w:rPr>
          <w:rFonts w:ascii="Times New Roman" w:hAnsi="Times New Roman" w:cs="Times New Roman"/>
          <w:color w:val="333333"/>
        </w:rPr>
        <w:t>. It</w:t>
      </w:r>
      <w:r>
        <w:rPr>
          <w:rFonts w:ascii="Times New Roman" w:hAnsi="Times New Roman" w:cs="Times New Roman"/>
          <w:color w:val="333333"/>
        </w:rPr>
        <w:t xml:space="preserve"> is addressed to a church that Paul himself had not founded. It is disputed whether </w:t>
      </w:r>
      <w:r>
        <w:rPr>
          <w:rFonts w:ascii="Times New Roman" w:hAnsi="Times New Roman" w:cs="Times New Roman"/>
          <w:b/>
          <w:color w:val="333333"/>
        </w:rPr>
        <w:t>Colossians and Ephesians</w:t>
      </w:r>
      <w:r>
        <w:rPr>
          <w:rFonts w:ascii="Times New Roman" w:hAnsi="Times New Roman" w:cs="Times New Roman"/>
          <w:color w:val="333333"/>
        </w:rPr>
        <w:t xml:space="preserve"> are really by Paul, although they clearly develop themes in his message and should naturally be read.</w:t>
      </w:r>
    </w:p>
    <w:p w14:paraId="1C5552DE" w14:textId="42ED47AD" w:rsidR="006D1C83" w:rsidRDefault="006D1C83" w:rsidP="006D1C83">
      <w:pPr>
        <w:rPr>
          <w:rFonts w:ascii="Times New Roman" w:hAnsi="Times New Roman" w:cs="Times New Roman"/>
          <w:b/>
          <w:color w:val="333333"/>
        </w:rPr>
      </w:pPr>
      <w:r>
        <w:rPr>
          <w:rFonts w:ascii="Times New Roman" w:hAnsi="Times New Roman" w:cs="Times New Roman"/>
          <w:b/>
          <w:color w:val="333333"/>
        </w:rPr>
        <w:t>2. Move</w:t>
      </w:r>
      <w:r>
        <w:rPr>
          <w:rFonts w:ascii="Times New Roman" w:hAnsi="Times New Roman" w:cs="Times New Roman"/>
          <w:b/>
          <w:color w:val="333333"/>
        </w:rPr>
        <w:t xml:space="preserve"> now to </w:t>
      </w:r>
      <w:r>
        <w:rPr>
          <w:rFonts w:ascii="Times New Roman" w:hAnsi="Times New Roman" w:cs="Times New Roman"/>
          <w:b/>
          <w:color w:val="333333"/>
        </w:rPr>
        <w:t>the four Gospels and Acts</w:t>
      </w:r>
      <w:r>
        <w:rPr>
          <w:rFonts w:ascii="Times New Roman" w:hAnsi="Times New Roman" w:cs="Times New Roman"/>
          <w:b/>
          <w:color w:val="333333"/>
        </w:rPr>
        <w:t>.</w:t>
      </w:r>
    </w:p>
    <w:p w14:paraId="1058D888" w14:textId="796ACD42" w:rsidR="006D1C83" w:rsidRDefault="006D1C83" w:rsidP="006D1C83">
      <w:pPr>
        <w:rPr>
          <w:b/>
        </w:rPr>
      </w:pPr>
      <w:r>
        <w:rPr>
          <w:rFonts w:ascii="Times New Roman" w:hAnsi="Times New Roman" w:cs="Times New Roman"/>
          <w:color w:val="333333"/>
        </w:rPr>
        <w:t>The Gospels are</w:t>
      </w:r>
      <w:r>
        <w:rPr>
          <w:rFonts w:ascii="Times New Roman" w:hAnsi="Times New Roman" w:cs="Times New Roman"/>
          <w:color w:val="333333"/>
        </w:rPr>
        <w:t xml:space="preserve"> all written after Paul’s death, even though the sayings and deeds of Jesus they record must have been known by the Christians who taught Paul. </w:t>
      </w:r>
      <w:r>
        <w:rPr>
          <w:rFonts w:ascii="Times New Roman" w:hAnsi="Times New Roman" w:cs="Times New Roman"/>
          <w:b/>
          <w:color w:val="333333"/>
        </w:rPr>
        <w:t>The oldest, by general consent, is also the shortest: Mark.</w:t>
      </w:r>
      <w:r>
        <w:rPr>
          <w:rFonts w:ascii="Times New Roman" w:hAnsi="Times New Roman" w:cs="Times New Roman"/>
          <w:b/>
          <w:color w:val="333333"/>
        </w:rPr>
        <w:br/>
      </w:r>
    </w:p>
    <w:p w14:paraId="3B7790A1" w14:textId="77777777" w:rsidR="006D1C83" w:rsidRDefault="006D1C83" w:rsidP="006D1C83">
      <w:pPr>
        <w:rPr>
          <w:rFonts w:ascii="Times New Roman" w:hAnsi="Times New Roman" w:cs="Times New Roman"/>
          <w:color w:val="333333"/>
        </w:rPr>
      </w:pPr>
      <w:r>
        <w:rPr>
          <w:rFonts w:ascii="Times New Roman" w:hAnsi="Times New Roman" w:cs="Times New Roman"/>
          <w:b/>
          <w:color w:val="333333"/>
        </w:rPr>
        <w:t>Matthew, Luke and John follow on from Mark,</w:t>
      </w:r>
      <w:r>
        <w:rPr>
          <w:rFonts w:ascii="Times New Roman" w:hAnsi="Times New Roman" w:cs="Times New Roman"/>
          <w:color w:val="333333"/>
        </w:rPr>
        <w:t xml:space="preserve"> but John is radically different from the three “synoptic” Gospels in almost every way . . . John . . . contains so many themes all Christians value, such as the Lord as the Good Shepherd, seen in very early Christian iconography. Luke’s Gospel has a second </w:t>
      </w:r>
      <w:r>
        <w:rPr>
          <w:rFonts w:ascii="Times New Roman" w:hAnsi="Times New Roman" w:cs="Times New Roman"/>
          <w:color w:val="333333"/>
        </w:rPr>
        <w:lastRenderedPageBreak/>
        <w:t>volume, the Acts of the Apostles, in which the growth of the early Church is described, as well as the exploits of Paul. It is the easiest book to read in the New Testament as it tells a continuous story. </w:t>
      </w:r>
    </w:p>
    <w:p w14:paraId="5A13B2DA" w14:textId="11514894" w:rsidR="006D1C83" w:rsidRDefault="006D1C83" w:rsidP="006D1C83">
      <w:pPr>
        <w:rPr>
          <w:b/>
        </w:rPr>
      </w:pPr>
      <w:r>
        <w:rPr>
          <w:rFonts w:ascii="Times New Roman" w:hAnsi="Times New Roman" w:cs="Times New Roman"/>
          <w:color w:val="333333"/>
        </w:rPr>
        <w:t>Leave aside for the moment the rest of the New Testament. Turn to the Old Testament.</w:t>
      </w:r>
      <w:r>
        <w:rPr>
          <w:rFonts w:ascii="Times New Roman" w:hAnsi="Times New Roman" w:cs="Times New Roman"/>
          <w:color w:val="333333"/>
        </w:rPr>
        <w:br/>
        <w:t>Old Testament chronology is a minefield, and my own preference is to read the books by category or genre. The first to read are the narrative books.</w:t>
      </w:r>
    </w:p>
    <w:p w14:paraId="40C1363A" w14:textId="0CCC6383" w:rsidR="006D1C83" w:rsidRDefault="006D1C83" w:rsidP="006D1C83">
      <w:pPr>
        <w:pStyle w:val="NormalWeb"/>
        <w:spacing w:before="0" w:beforeAutospacing="0" w:after="240" w:afterAutospacing="0"/>
        <w:rPr>
          <w:color w:val="333333"/>
        </w:rPr>
      </w:pPr>
      <w:r>
        <w:rPr>
          <w:b/>
          <w:color w:val="333333"/>
        </w:rPr>
        <w:t>4.  The Old Testament: The Narrative books.</w:t>
      </w:r>
      <w:r>
        <w:rPr>
          <w:b/>
          <w:color w:val="333333"/>
        </w:rPr>
        <w:br/>
      </w:r>
      <w:r>
        <w:rPr>
          <w:b/>
          <w:color w:val="333333"/>
        </w:rPr>
        <w:br/>
      </w:r>
      <w:r>
        <w:rPr>
          <w:color w:val="333333"/>
        </w:rPr>
        <w:t xml:space="preserve">To get the flavor, the books of Samuel are the ideal starting point, and can be read right through as one might read a novel. The style is strange to a modern reader, though one soon gets accustomed to it (especially using a modern version). </w:t>
      </w:r>
      <w:r>
        <w:rPr>
          <w:color w:val="333333"/>
        </w:rPr>
        <w:t>T</w:t>
      </w:r>
      <w:r>
        <w:rPr>
          <w:color w:val="333333"/>
        </w:rPr>
        <w:t>he content is all too familiar, since it concerns human foibles and the effects of wrongdoing in families. The account of the intrigues and murders at David’s court (2 Samuel 9-20) is particularly vivid.</w:t>
      </w:r>
    </w:p>
    <w:p w14:paraId="4F4A3187" w14:textId="77777777" w:rsidR="006D1C83" w:rsidRDefault="006D1C83" w:rsidP="006D1C83">
      <w:pPr>
        <w:pStyle w:val="NormalWeb"/>
        <w:spacing w:before="0" w:beforeAutospacing="0" w:after="240" w:afterAutospacing="0"/>
        <w:rPr>
          <w:b/>
          <w:color w:val="333333"/>
        </w:rPr>
      </w:pPr>
      <w:r>
        <w:rPr>
          <w:b/>
          <w:color w:val="333333"/>
        </w:rPr>
        <w:t>5. The Old Testament: The Wisdom books.</w:t>
      </w:r>
    </w:p>
    <w:p w14:paraId="6C5AD571" w14:textId="240A9B2B" w:rsidR="006D1C83" w:rsidRDefault="006D1C83" w:rsidP="006D1C83">
      <w:pPr>
        <w:pStyle w:val="NormalWeb"/>
        <w:spacing w:before="0" w:beforeAutospacing="0" w:after="240" w:afterAutospacing="0"/>
        <w:rPr>
          <w:color w:val="333333"/>
        </w:rPr>
      </w:pPr>
      <w:r>
        <w:rPr>
          <w:color w:val="333333"/>
        </w:rPr>
        <w:t xml:space="preserve">Christian readers tend to expect the Bible to be edifying, and many of the stories in Samuel – and elsewhere too – hardly seem to be so: some are quite shocking. The Bible is about God but in that context much of the Old Testament is focused on describing and </w:t>
      </w:r>
      <w:r>
        <w:rPr>
          <w:color w:val="333333"/>
        </w:rPr>
        <w:t>examining</w:t>
      </w:r>
      <w:r>
        <w:rPr>
          <w:color w:val="333333"/>
        </w:rPr>
        <w:t xml:space="preserve"> the nature of human beings. This is most obvious in the books I would go to next, the so-called teaching or “wisdom” literature: </w:t>
      </w:r>
      <w:r>
        <w:rPr>
          <w:b/>
          <w:color w:val="333333"/>
        </w:rPr>
        <w:t>Proverbs, Ecclesiastes, Job, and Sirach (sometimes called Ecclesiasticus).</w:t>
      </w:r>
      <w:r>
        <w:rPr>
          <w:color w:val="333333"/>
        </w:rPr>
        <w:t xml:space="preserve"> Here we find ideas about the human person in society, mostly presented</w:t>
      </w:r>
      <w:r>
        <w:rPr>
          <w:color w:val="333333"/>
        </w:rPr>
        <w:t xml:space="preserve"> . . . </w:t>
      </w:r>
      <w:r>
        <w:rPr>
          <w:color w:val="333333"/>
        </w:rPr>
        <w:t xml:space="preserve"> as reflection</w:t>
      </w:r>
      <w:r>
        <w:rPr>
          <w:color w:val="333333"/>
        </w:rPr>
        <w:t>s</w:t>
      </w:r>
      <w:r>
        <w:rPr>
          <w:color w:val="333333"/>
        </w:rPr>
        <w:t xml:space="preserve"> on humanity in the context of God’s providence.</w:t>
      </w:r>
    </w:p>
    <w:p w14:paraId="73BB423D" w14:textId="77777777" w:rsidR="006D1C83" w:rsidRDefault="006D1C83" w:rsidP="006D1C83">
      <w:pPr>
        <w:pStyle w:val="NormalWeb"/>
        <w:spacing w:before="0" w:beforeAutospacing="0" w:after="240" w:afterAutospacing="0"/>
        <w:rPr>
          <w:b/>
          <w:color w:val="333333"/>
        </w:rPr>
      </w:pPr>
      <w:r>
        <w:rPr>
          <w:b/>
          <w:color w:val="333333"/>
        </w:rPr>
        <w:t>6. The Old Testament: Genesis and Exodus </w:t>
      </w:r>
    </w:p>
    <w:p w14:paraId="71E91777" w14:textId="77777777" w:rsidR="006D1C83" w:rsidRDefault="006D1C83" w:rsidP="006D1C83">
      <w:pPr>
        <w:pStyle w:val="NormalWeb"/>
        <w:spacing w:before="0" w:beforeAutospacing="0" w:after="240" w:afterAutospacing="0"/>
        <w:rPr>
          <w:color w:val="333333"/>
        </w:rPr>
      </w:pPr>
      <w:r>
        <w:rPr>
          <w:color w:val="333333"/>
        </w:rPr>
        <w:t xml:space="preserve">Now it is time to tackle </w:t>
      </w:r>
      <w:r>
        <w:rPr>
          <w:b/>
          <w:color w:val="333333"/>
        </w:rPr>
        <w:t>Genesis and the first part (chapters 1-24) of Exodus</w:t>
      </w:r>
      <w:r>
        <w:rPr>
          <w:color w:val="333333"/>
        </w:rPr>
        <w:t>, stories about very early times but mostly not actually written any earlier than Samuel, and in some cases later. These writings are complex, the result of interweaving what are sometimes alternative accounts of the same events.</w:t>
      </w:r>
    </w:p>
    <w:p w14:paraId="1636336F" w14:textId="77777777" w:rsidR="006D1C83" w:rsidRDefault="006D1C83" w:rsidP="006D1C83">
      <w:pPr>
        <w:pStyle w:val="NormalWeb"/>
        <w:spacing w:before="0" w:beforeAutospacing="0" w:after="240" w:afterAutospacing="0"/>
        <w:rPr>
          <w:b/>
          <w:color w:val="333333"/>
        </w:rPr>
      </w:pPr>
      <w:r>
        <w:rPr>
          <w:b/>
          <w:color w:val="333333"/>
        </w:rPr>
        <w:t>7. The Old Testament: Leviticus and Numbers.</w:t>
      </w:r>
    </w:p>
    <w:p w14:paraId="385FDEE6" w14:textId="62F7F9BC" w:rsidR="006D1C83" w:rsidRDefault="006D1C83" w:rsidP="006D1C83">
      <w:pPr>
        <w:pStyle w:val="NormalWeb"/>
        <w:spacing w:before="0" w:beforeAutospacing="0" w:after="240" w:afterAutospacing="0"/>
        <w:rPr>
          <w:color w:val="333333"/>
        </w:rPr>
      </w:pPr>
      <w:r>
        <w:rPr>
          <w:color w:val="333333"/>
        </w:rPr>
        <w:t>Genesis and Exodus (together with Leviticus and Numbers) tell the story of early Israel, indeed a version of the story of the world, but they also contain many directives issued by God, most famously the Ten Commandments, together with an immense amount of ritual legislat</w:t>
      </w:r>
      <w:r>
        <w:rPr>
          <w:color w:val="333333"/>
        </w:rPr>
        <w:t>ion.</w:t>
      </w:r>
      <w:r>
        <w:rPr>
          <w:color w:val="333333"/>
        </w:rPr>
        <w:t xml:space="preserve"> </w:t>
      </w:r>
    </w:p>
    <w:p w14:paraId="50F6F286" w14:textId="77777777" w:rsidR="006D1C83" w:rsidRDefault="006D1C83" w:rsidP="006D1C83">
      <w:pPr>
        <w:pStyle w:val="NormalWeb"/>
        <w:spacing w:before="0" w:beforeAutospacing="0" w:after="240" w:afterAutospacing="0"/>
        <w:rPr>
          <w:b/>
          <w:color w:val="333333"/>
        </w:rPr>
      </w:pPr>
      <w:r>
        <w:rPr>
          <w:b/>
          <w:color w:val="333333"/>
        </w:rPr>
        <w:t>8. The Old Testament: The Prophets.</w:t>
      </w:r>
    </w:p>
    <w:p w14:paraId="2CC2D7C5" w14:textId="77777777" w:rsidR="006D1C83" w:rsidRDefault="006D1C83" w:rsidP="006D1C83">
      <w:pPr>
        <w:pStyle w:val="NormalWeb"/>
        <w:spacing w:before="0" w:beforeAutospacing="0" w:after="240" w:afterAutospacing="0"/>
        <w:rPr>
          <w:b/>
          <w:color w:val="333333"/>
        </w:rPr>
      </w:pPr>
      <w:r>
        <w:rPr>
          <w:b/>
          <w:color w:val="333333"/>
        </w:rPr>
        <w:t>9. Finally, the Psalms. </w:t>
      </w:r>
    </w:p>
    <w:p w14:paraId="49DC7948" w14:textId="66CB2B7D" w:rsidR="006D1C83" w:rsidRDefault="006D1C83" w:rsidP="006D1C83">
      <w:pPr>
        <w:pStyle w:val="NormalWeb"/>
        <w:spacing w:before="0" w:beforeAutospacing="0" w:after="240" w:afterAutospacing="0"/>
        <w:rPr>
          <w:color w:val="333333"/>
        </w:rPr>
      </w:pPr>
      <w:r>
        <w:rPr>
          <w:color w:val="333333"/>
        </w:rPr>
        <w:t>They need to be savored individually, not read straight through. In the Psalms, as in the Old Testament in general, “all human life is there”.</w:t>
      </w:r>
    </w:p>
    <w:p w14:paraId="1B5045A3" w14:textId="495DAA6D" w:rsidR="000832D1" w:rsidRPr="000832D1" w:rsidRDefault="000832D1" w:rsidP="006D1C83">
      <w:pPr>
        <w:pStyle w:val="NormalWeb"/>
        <w:spacing w:before="0" w:beforeAutospacing="0" w:after="240" w:afterAutospacing="0"/>
        <w:rPr>
          <w:color w:val="333333"/>
        </w:rPr>
      </w:pPr>
      <w:r>
        <w:rPr>
          <w:i/>
          <w:iCs/>
          <w:color w:val="333333"/>
        </w:rPr>
        <w:t xml:space="preserve">NB </w:t>
      </w:r>
      <w:r>
        <w:rPr>
          <w:color w:val="333333"/>
        </w:rPr>
        <w:t>from Douglas:</w:t>
      </w:r>
      <w:r>
        <w:rPr>
          <w:i/>
          <w:iCs/>
          <w:color w:val="333333"/>
        </w:rPr>
        <w:t xml:space="preserve"> </w:t>
      </w:r>
      <w:r>
        <w:rPr>
          <w:color w:val="333333"/>
        </w:rPr>
        <w:t>This is but one of many schemes. Your parish priest no doubt will have good advice on how he or she would recommend one ‘reads’ the Bible in a comprehensive way.</w:t>
      </w:r>
    </w:p>
    <w:p w14:paraId="4B5E86AB" w14:textId="2A259B65" w:rsidR="00542924" w:rsidRDefault="006D1C83" w:rsidP="006D1C83">
      <w:r>
        <w:rPr>
          <w:b/>
          <w:color w:val="333333"/>
        </w:rPr>
        <w:lastRenderedPageBreak/>
        <w:br/>
      </w:r>
    </w:p>
    <w:sectPr w:rsidR="005429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83"/>
    <w:rsid w:val="000832D1"/>
    <w:rsid w:val="001928F0"/>
    <w:rsid w:val="00542924"/>
    <w:rsid w:val="006D1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2199"/>
  <w15:chartTrackingRefBased/>
  <w15:docId w15:val="{57DD456B-FE88-4953-85B4-6C6958FD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C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28F0"/>
    <w:pPr>
      <w:spacing w:after="0" w:line="240" w:lineRule="auto"/>
    </w:pPr>
  </w:style>
  <w:style w:type="paragraph" w:styleId="NormalWeb">
    <w:name w:val="Normal (Web)"/>
    <w:basedOn w:val="Normal"/>
    <w:uiPriority w:val="99"/>
    <w:semiHidden/>
    <w:unhideWhenUsed/>
    <w:rsid w:val="006D1C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1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CD92C40058943BE6837FC584CE182" ma:contentTypeVersion="13" ma:contentTypeDescription="Create a new document." ma:contentTypeScope="" ma:versionID="e02ed96a4ac415ad9bf82b35d20a4549">
  <xsd:schema xmlns:xsd="http://www.w3.org/2001/XMLSchema" xmlns:xs="http://www.w3.org/2001/XMLSchema" xmlns:p="http://schemas.microsoft.com/office/2006/metadata/properties" xmlns:ns3="0ff42923-c24e-412f-8d0e-3c3e86eef813" xmlns:ns4="81f18614-2a4f-4e5d-98e1-cf58ce724142" targetNamespace="http://schemas.microsoft.com/office/2006/metadata/properties" ma:root="true" ma:fieldsID="33c114f26227bba09fd7fd0c8792f015" ns3:_="" ns4:_="">
    <xsd:import namespace="0ff42923-c24e-412f-8d0e-3c3e86eef813"/>
    <xsd:import namespace="81f18614-2a4f-4e5d-98e1-cf58ce7241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42923-c24e-412f-8d0e-3c3e86eef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f18614-2a4f-4e5d-98e1-cf58ce72414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F0023-3082-47C9-9018-8D065B043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42923-c24e-412f-8d0e-3c3e86eef813"/>
    <ds:schemaRef ds:uri="81f18614-2a4f-4e5d-98e1-cf58ce724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5E8BD2-5FDA-4517-BCF5-BEF56F8522A8}">
  <ds:schemaRefs>
    <ds:schemaRef ds:uri="http://schemas.microsoft.com/sharepoint/v3/contenttype/forms"/>
  </ds:schemaRefs>
</ds:datastoreItem>
</file>

<file path=customXml/itemProps3.xml><?xml version="1.0" encoding="utf-8"?>
<ds:datastoreItem xmlns:ds="http://schemas.openxmlformats.org/officeDocument/2006/customXml" ds:itemID="{7643BED0-CB3C-4CE9-A3F9-C76FAE8464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Dupree</dc:creator>
  <cp:keywords/>
  <dc:description/>
  <cp:lastModifiedBy>Douglas Dupree</cp:lastModifiedBy>
  <cp:revision>1</cp:revision>
  <dcterms:created xsi:type="dcterms:W3CDTF">2020-04-21T15:54:00Z</dcterms:created>
  <dcterms:modified xsi:type="dcterms:W3CDTF">2020-04-21T16:07:00Z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0x01010011ECD92C40058943BE6837FC584CE182</vt:lpwstr>
  </property>
</Properties>
</file>