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04B394" w14:textId="60984405" w:rsidR="005238D0" w:rsidRDefault="005238D0" w:rsidP="00053AA0">
      <w:pPr>
        <w:rPr>
          <w:rFonts w:ascii="Arial" w:hAnsi="Arial" w:cs="Arial"/>
          <w:b/>
          <w:bCs/>
          <w:sz w:val="24"/>
          <w:szCs w:val="24"/>
        </w:rPr>
      </w:pPr>
      <w:r>
        <w:rPr>
          <w:rFonts w:ascii="Tahoma" w:hAnsi="Tahoma" w:cs="Tahoma"/>
          <w:b/>
          <w:bCs/>
          <w:noProof/>
          <w:sz w:val="36"/>
          <w:szCs w:val="36"/>
        </w:rPr>
        <w:drawing>
          <wp:anchor distT="0" distB="0" distL="114300" distR="114300" simplePos="0" relativeHeight="251658240" behindDoc="1" locked="0" layoutInCell="1" allowOverlap="1" wp14:anchorId="4C764FD4" wp14:editId="4844C37A">
            <wp:simplePos x="0" y="0"/>
            <wp:positionH relativeFrom="margin">
              <wp:align>center</wp:align>
            </wp:positionH>
            <wp:positionV relativeFrom="margin">
              <wp:posOffset>-233389</wp:posOffset>
            </wp:positionV>
            <wp:extent cx="1435608" cy="896112"/>
            <wp:effectExtent l="0" t="0" r="0" b="5715"/>
            <wp:wrapSquare wrapText="bothSides"/>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1435608" cy="896112"/>
                    </a:xfrm>
                    <a:prstGeom prst="rect">
                      <a:avLst/>
                    </a:prstGeom>
                  </pic:spPr>
                </pic:pic>
              </a:graphicData>
            </a:graphic>
            <wp14:sizeRelH relativeFrom="margin">
              <wp14:pctWidth>0</wp14:pctWidth>
            </wp14:sizeRelH>
            <wp14:sizeRelV relativeFrom="margin">
              <wp14:pctHeight>0</wp14:pctHeight>
            </wp14:sizeRelV>
          </wp:anchor>
        </w:drawing>
      </w:r>
    </w:p>
    <w:p w14:paraId="4F5FC597" w14:textId="77777777" w:rsidR="007704B5" w:rsidRDefault="007704B5" w:rsidP="007E05E5">
      <w:pPr>
        <w:contextualSpacing/>
        <w:jc w:val="center"/>
        <w:rPr>
          <w:rFonts w:ascii="Tahoma" w:hAnsi="Tahoma" w:cs="Tahoma"/>
          <w:b/>
          <w:bCs/>
          <w:sz w:val="36"/>
          <w:szCs w:val="36"/>
        </w:rPr>
      </w:pPr>
    </w:p>
    <w:p w14:paraId="3EE30527" w14:textId="77777777" w:rsidR="007704B5" w:rsidRDefault="007704B5" w:rsidP="007E05E5">
      <w:pPr>
        <w:contextualSpacing/>
        <w:jc w:val="center"/>
        <w:rPr>
          <w:rFonts w:ascii="Tahoma" w:hAnsi="Tahoma" w:cs="Tahoma"/>
          <w:b/>
          <w:bCs/>
          <w:sz w:val="36"/>
          <w:szCs w:val="36"/>
        </w:rPr>
      </w:pPr>
    </w:p>
    <w:p w14:paraId="08A55840" w14:textId="138DF6C1" w:rsidR="001D099F" w:rsidRPr="003913BE" w:rsidRDefault="007E05E5" w:rsidP="003913BE">
      <w:pPr>
        <w:contextualSpacing/>
        <w:jc w:val="center"/>
        <w:rPr>
          <w:rFonts w:ascii="Tahoma" w:hAnsi="Tahoma" w:cs="Tahoma"/>
          <w:b/>
          <w:bCs/>
          <w:sz w:val="36"/>
          <w:szCs w:val="36"/>
        </w:rPr>
      </w:pPr>
      <w:r w:rsidRPr="00637496">
        <w:rPr>
          <w:rFonts w:ascii="Tahoma" w:hAnsi="Tahoma" w:cs="Tahoma"/>
          <w:b/>
          <w:bCs/>
          <w:sz w:val="36"/>
          <w:szCs w:val="36"/>
        </w:rPr>
        <w:t>Federal Updates</w:t>
      </w:r>
      <w:bookmarkStart w:id="0" w:name="link_1"/>
    </w:p>
    <w:bookmarkEnd w:id="0"/>
    <w:p w14:paraId="1F59EA42" w14:textId="77777777" w:rsidR="0044054E" w:rsidRDefault="0044054E" w:rsidP="0044054E">
      <w:pPr>
        <w:pStyle w:val="NormalWeb"/>
        <w:spacing w:before="0" w:beforeAutospacing="0" w:after="225" w:afterAutospacing="0"/>
        <w:contextualSpacing/>
        <w:rPr>
          <w:rFonts w:ascii="Helvetica" w:hAnsi="Helvetica" w:cs="Helvetica"/>
          <w:b/>
          <w:bCs/>
          <w:sz w:val="23"/>
          <w:szCs w:val="23"/>
        </w:rPr>
      </w:pPr>
    </w:p>
    <w:p w14:paraId="6C25519A" w14:textId="77777777" w:rsidR="00891E91" w:rsidRPr="000708A6" w:rsidRDefault="00891E91" w:rsidP="00891E91">
      <w:pPr>
        <w:pStyle w:val="NormalWeb"/>
        <w:spacing w:after="225"/>
        <w:rPr>
          <w:rFonts w:ascii="Arial" w:hAnsi="Arial" w:cs="Arial"/>
        </w:rPr>
      </w:pPr>
      <w:r>
        <w:rPr>
          <w:rFonts w:ascii="Arial" w:hAnsi="Arial" w:cs="Arial"/>
          <w:b/>
          <w:bCs/>
        </w:rPr>
        <w:t xml:space="preserve">White House Releases Budget Proposal. </w:t>
      </w:r>
      <w:r w:rsidRPr="000708A6">
        <w:rPr>
          <w:rFonts w:ascii="Arial" w:hAnsi="Arial" w:cs="Arial"/>
        </w:rPr>
        <w:t xml:space="preserve">The </w:t>
      </w:r>
      <w:r>
        <w:rPr>
          <w:rFonts w:ascii="Arial" w:hAnsi="Arial" w:cs="Arial"/>
        </w:rPr>
        <w:t xml:space="preserve">Biden Administration released its fiscal 2024 </w:t>
      </w:r>
      <w:hyperlink r:id="rId7" w:history="1">
        <w:r w:rsidRPr="000708A6">
          <w:rPr>
            <w:rStyle w:val="Hyperlink"/>
            <w:rFonts w:ascii="Arial" w:hAnsi="Arial" w:cs="Arial"/>
          </w:rPr>
          <w:t>budget proposal</w:t>
        </w:r>
      </w:hyperlink>
      <w:r>
        <w:rPr>
          <w:rFonts w:ascii="Arial" w:hAnsi="Arial" w:cs="Arial"/>
        </w:rPr>
        <w:t xml:space="preserve"> that highlights a number of important </w:t>
      </w:r>
      <w:r w:rsidRPr="000708A6">
        <w:rPr>
          <w:rFonts w:ascii="Arial" w:hAnsi="Arial" w:cs="Arial"/>
        </w:rPr>
        <w:t xml:space="preserve">health care </w:t>
      </w:r>
      <w:r>
        <w:rPr>
          <w:rFonts w:ascii="Arial" w:hAnsi="Arial" w:cs="Arial"/>
        </w:rPr>
        <w:t xml:space="preserve">topics </w:t>
      </w:r>
      <w:r w:rsidRPr="000708A6">
        <w:rPr>
          <w:rFonts w:ascii="Arial" w:hAnsi="Arial" w:cs="Arial"/>
        </w:rPr>
        <w:t xml:space="preserve">including </w:t>
      </w:r>
      <w:r>
        <w:rPr>
          <w:rFonts w:ascii="Arial" w:hAnsi="Arial" w:cs="Arial"/>
        </w:rPr>
        <w:t xml:space="preserve">workforce issues, addressing </w:t>
      </w:r>
      <w:r w:rsidRPr="000708A6">
        <w:rPr>
          <w:rFonts w:ascii="Arial" w:hAnsi="Arial" w:cs="Arial"/>
        </w:rPr>
        <w:t xml:space="preserve">drug costs, </w:t>
      </w:r>
      <w:r>
        <w:rPr>
          <w:rFonts w:ascii="Arial" w:hAnsi="Arial" w:cs="Arial"/>
        </w:rPr>
        <w:t xml:space="preserve">and improving </w:t>
      </w:r>
      <w:r w:rsidRPr="000708A6">
        <w:rPr>
          <w:rFonts w:ascii="Arial" w:hAnsi="Arial" w:cs="Arial"/>
        </w:rPr>
        <w:t>access to care</w:t>
      </w:r>
      <w:r>
        <w:rPr>
          <w:rFonts w:ascii="Arial" w:hAnsi="Arial" w:cs="Arial"/>
        </w:rPr>
        <w:t xml:space="preserve">. While agency-specific details were not included in the proposal, the Biden Administration has called for the budget of the US Department of Health and Human Services (HHS) to be increased by 11.5%. The proposal also calls for an additional </w:t>
      </w:r>
      <w:r w:rsidRPr="000708A6">
        <w:rPr>
          <w:rFonts w:ascii="Arial" w:hAnsi="Arial" w:cs="Arial"/>
        </w:rPr>
        <w:t xml:space="preserve">$150 billion over </w:t>
      </w:r>
      <w:r>
        <w:rPr>
          <w:rFonts w:ascii="Arial" w:hAnsi="Arial" w:cs="Arial"/>
        </w:rPr>
        <w:t xml:space="preserve">ten years </w:t>
      </w:r>
      <w:r w:rsidRPr="000708A6">
        <w:rPr>
          <w:rFonts w:ascii="Arial" w:hAnsi="Arial" w:cs="Arial"/>
        </w:rPr>
        <w:t xml:space="preserve">for Medicaid home- and community-based services, $20 billion </w:t>
      </w:r>
      <w:r>
        <w:rPr>
          <w:rFonts w:ascii="Arial" w:hAnsi="Arial" w:cs="Arial"/>
        </w:rPr>
        <w:t xml:space="preserve">to improve </w:t>
      </w:r>
      <w:r w:rsidRPr="000708A6">
        <w:rPr>
          <w:rFonts w:ascii="Arial" w:hAnsi="Arial" w:cs="Arial"/>
        </w:rPr>
        <w:t xml:space="preserve">pandemic preparedness, </w:t>
      </w:r>
      <w:r>
        <w:rPr>
          <w:rFonts w:ascii="Arial" w:hAnsi="Arial" w:cs="Arial"/>
        </w:rPr>
        <w:t xml:space="preserve">prioritizes behavioral health care and earmarks almost </w:t>
      </w:r>
      <w:r w:rsidRPr="000708A6">
        <w:rPr>
          <w:rFonts w:ascii="Arial" w:hAnsi="Arial" w:cs="Arial"/>
        </w:rPr>
        <w:t>$20 billion</w:t>
      </w:r>
      <w:r>
        <w:rPr>
          <w:rFonts w:ascii="Arial" w:hAnsi="Arial" w:cs="Arial"/>
        </w:rPr>
        <w:t xml:space="preserve">, </w:t>
      </w:r>
      <w:r w:rsidRPr="000708A6">
        <w:rPr>
          <w:rFonts w:ascii="Arial" w:hAnsi="Arial" w:cs="Arial"/>
        </w:rPr>
        <w:t xml:space="preserve">and </w:t>
      </w:r>
      <w:r>
        <w:rPr>
          <w:rFonts w:ascii="Arial" w:hAnsi="Arial" w:cs="Arial"/>
        </w:rPr>
        <w:t xml:space="preserve">targets nearly </w:t>
      </w:r>
      <w:r w:rsidRPr="000708A6">
        <w:rPr>
          <w:rFonts w:ascii="Arial" w:hAnsi="Arial" w:cs="Arial"/>
        </w:rPr>
        <w:t>$1</w:t>
      </w:r>
      <w:r>
        <w:rPr>
          <w:rFonts w:ascii="Arial" w:hAnsi="Arial" w:cs="Arial"/>
        </w:rPr>
        <w:t>1</w:t>
      </w:r>
      <w:r w:rsidRPr="000708A6">
        <w:rPr>
          <w:rFonts w:ascii="Arial" w:hAnsi="Arial" w:cs="Arial"/>
        </w:rPr>
        <w:t xml:space="preserve"> billion for global health.</w:t>
      </w:r>
      <w:r>
        <w:rPr>
          <w:rFonts w:ascii="Arial" w:hAnsi="Arial" w:cs="Arial"/>
        </w:rPr>
        <w:t xml:space="preserve"> The proposal also emphasizes the need to address telehealth and </w:t>
      </w:r>
      <w:proofErr w:type="spellStart"/>
      <w:r>
        <w:rPr>
          <w:rFonts w:ascii="Arial" w:hAnsi="Arial" w:cs="Arial"/>
        </w:rPr>
        <w:t>veterans</w:t>
      </w:r>
      <w:proofErr w:type="spellEnd"/>
      <w:r>
        <w:rPr>
          <w:rFonts w:ascii="Arial" w:hAnsi="Arial" w:cs="Arial"/>
        </w:rPr>
        <w:t xml:space="preserve"> health. The proposal released by the White House is the first step in a lengthy political process requiring negotiation with both the House and Senate. </w:t>
      </w:r>
    </w:p>
    <w:p w14:paraId="6EB86C77" w14:textId="395DE36D" w:rsidR="00891E91" w:rsidRPr="004143A7" w:rsidRDefault="00891E91" w:rsidP="00891E91">
      <w:pPr>
        <w:pStyle w:val="NormalWeb"/>
        <w:spacing w:after="225"/>
        <w:rPr>
          <w:rFonts w:ascii="Arial" w:hAnsi="Arial" w:cs="Arial"/>
        </w:rPr>
      </w:pPr>
      <w:r w:rsidRPr="004150DF">
        <w:rPr>
          <w:rFonts w:ascii="Arial" w:hAnsi="Arial" w:cs="Arial"/>
          <w:b/>
          <w:bCs/>
        </w:rPr>
        <w:t>ASPR Publishes Cybersecurity Framework Implementation Guide</w:t>
      </w:r>
      <w:r>
        <w:rPr>
          <w:rFonts w:ascii="Arial" w:hAnsi="Arial" w:cs="Arial"/>
        </w:rPr>
        <w:t xml:space="preserve">. </w:t>
      </w:r>
      <w:r w:rsidRPr="004143A7">
        <w:rPr>
          <w:rFonts w:ascii="Arial" w:hAnsi="Arial" w:cs="Arial"/>
        </w:rPr>
        <w:t xml:space="preserve">The Administration for Strategic Preparedness and Response </w:t>
      </w:r>
      <w:r>
        <w:rPr>
          <w:rFonts w:ascii="Arial" w:hAnsi="Arial" w:cs="Arial"/>
        </w:rPr>
        <w:t xml:space="preserve">(ASPR) has published a </w:t>
      </w:r>
      <w:hyperlink r:id="rId8" w:history="1">
        <w:r w:rsidRPr="004143A7">
          <w:rPr>
            <w:rStyle w:val="Hyperlink"/>
            <w:rFonts w:ascii="Arial" w:hAnsi="Arial" w:cs="Arial"/>
          </w:rPr>
          <w:t>Cybersecurity Framework Implementation Guide</w:t>
        </w:r>
      </w:hyperlink>
      <w:r>
        <w:rPr>
          <w:rFonts w:ascii="Arial" w:hAnsi="Arial" w:cs="Arial"/>
        </w:rPr>
        <w:t xml:space="preserve">. The Guide </w:t>
      </w:r>
      <w:r w:rsidRPr="004143A7">
        <w:rPr>
          <w:rFonts w:ascii="Arial" w:hAnsi="Arial" w:cs="Arial"/>
        </w:rPr>
        <w:t xml:space="preserve">provides specific steps that health care organizations can take immediately to manage cyber risks to their information technology systems. This guide </w:t>
      </w:r>
      <w:r>
        <w:rPr>
          <w:rFonts w:ascii="Arial" w:hAnsi="Arial" w:cs="Arial"/>
        </w:rPr>
        <w:t xml:space="preserve">also </w:t>
      </w:r>
      <w:r w:rsidRPr="004143A7">
        <w:rPr>
          <w:rFonts w:ascii="Arial" w:hAnsi="Arial" w:cs="Arial"/>
        </w:rPr>
        <w:t>provides recommendations, best practices, and resources to help the public and private health care sectors prevent cybersecurity incidents. </w:t>
      </w:r>
      <w:r>
        <w:rPr>
          <w:rFonts w:ascii="Arial" w:hAnsi="Arial" w:cs="Arial"/>
        </w:rPr>
        <w:t>Jointly created with th</w:t>
      </w:r>
      <w:r w:rsidRPr="004143A7">
        <w:rPr>
          <w:rFonts w:ascii="Arial" w:hAnsi="Arial" w:cs="Arial"/>
        </w:rPr>
        <w:t>e Health Sector Coordinating Council (HSCC) Cybersecurity Working Group</w:t>
      </w:r>
      <w:r>
        <w:rPr>
          <w:rFonts w:ascii="Arial" w:hAnsi="Arial" w:cs="Arial"/>
        </w:rPr>
        <w:t>, development of the Guide was triggered by the r</w:t>
      </w:r>
      <w:r w:rsidRPr="004143A7">
        <w:rPr>
          <w:rFonts w:ascii="Arial" w:hAnsi="Arial" w:cs="Arial"/>
        </w:rPr>
        <w:t>ecent high-profile cyberattacks</w:t>
      </w:r>
      <w:r>
        <w:rPr>
          <w:rFonts w:ascii="Arial" w:hAnsi="Arial" w:cs="Arial"/>
        </w:rPr>
        <w:t xml:space="preserve"> and the increasing need for organizations to assess their </w:t>
      </w:r>
      <w:r w:rsidRPr="004143A7">
        <w:rPr>
          <w:rFonts w:ascii="Arial" w:hAnsi="Arial" w:cs="Arial"/>
        </w:rPr>
        <w:t>cyber h</w:t>
      </w:r>
      <w:r>
        <w:rPr>
          <w:rFonts w:ascii="Arial" w:hAnsi="Arial" w:cs="Arial"/>
        </w:rPr>
        <w:t>ygiene</w:t>
      </w:r>
      <w:r w:rsidRPr="004143A7">
        <w:rPr>
          <w:rFonts w:ascii="Arial" w:hAnsi="Arial" w:cs="Arial"/>
        </w:rPr>
        <w:t xml:space="preserve"> </w:t>
      </w:r>
      <w:r>
        <w:rPr>
          <w:rFonts w:ascii="Arial" w:hAnsi="Arial" w:cs="Arial"/>
        </w:rPr>
        <w:t xml:space="preserve">and </w:t>
      </w:r>
      <w:r w:rsidRPr="004143A7">
        <w:rPr>
          <w:rFonts w:ascii="Arial" w:hAnsi="Arial" w:cs="Arial"/>
        </w:rPr>
        <w:t>take actions to improve cybersecurity.  </w:t>
      </w:r>
    </w:p>
    <w:p w14:paraId="3426043F" w14:textId="77777777" w:rsidR="00891E91" w:rsidRPr="00A317C8" w:rsidRDefault="00891E91" w:rsidP="00891E91">
      <w:pPr>
        <w:pStyle w:val="NormalWeb"/>
        <w:shd w:val="clear" w:color="auto" w:fill="FFFFFF"/>
        <w:spacing w:before="0" w:beforeAutospacing="0" w:after="300" w:afterAutospacing="0"/>
        <w:rPr>
          <w:rFonts w:ascii="Arial" w:hAnsi="Arial" w:cs="Arial"/>
          <w:color w:val="333333"/>
        </w:rPr>
      </w:pPr>
      <w:r w:rsidRPr="007F42D1">
        <w:rPr>
          <w:rFonts w:ascii="Arial" w:hAnsi="Arial" w:cs="Arial"/>
          <w:b/>
          <w:bCs/>
          <w:color w:val="212121"/>
        </w:rPr>
        <w:t>NIST Seeks Public Input on Genomic Data Cybersecurity</w:t>
      </w:r>
      <w:r>
        <w:rPr>
          <w:rFonts w:ascii="Arial" w:hAnsi="Arial" w:cs="Arial"/>
          <w:color w:val="212121"/>
        </w:rPr>
        <w:t xml:space="preserve">. </w:t>
      </w:r>
      <w:r w:rsidRPr="00A317C8">
        <w:rPr>
          <w:rFonts w:ascii="Arial" w:hAnsi="Arial" w:cs="Arial"/>
          <w:color w:val="333333"/>
        </w:rPr>
        <w:t xml:space="preserve">The National Cybersecurity Center of Excellence at the National Institute of Standards and Technology </w:t>
      </w:r>
      <w:r>
        <w:rPr>
          <w:rFonts w:ascii="Arial" w:hAnsi="Arial" w:cs="Arial"/>
          <w:color w:val="333333"/>
        </w:rPr>
        <w:t xml:space="preserve">(NIST) </w:t>
      </w:r>
      <w:r w:rsidRPr="00A317C8">
        <w:rPr>
          <w:rFonts w:ascii="Arial" w:hAnsi="Arial" w:cs="Arial"/>
          <w:color w:val="333333"/>
        </w:rPr>
        <w:t xml:space="preserve">has published a </w:t>
      </w:r>
      <w:hyperlink r:id="rId9" w:history="1">
        <w:r w:rsidRPr="007F42D1">
          <w:rPr>
            <w:rStyle w:val="Hyperlink"/>
            <w:rFonts w:ascii="Arial" w:hAnsi="Arial" w:cs="Arial"/>
          </w:rPr>
          <w:t>draft internal report</w:t>
        </w:r>
      </w:hyperlink>
      <w:r w:rsidRPr="00A317C8">
        <w:rPr>
          <w:rFonts w:ascii="Arial" w:hAnsi="Arial" w:cs="Arial"/>
          <w:color w:val="333333"/>
        </w:rPr>
        <w:t xml:space="preserve"> and is accepting public comments through April 3.</w:t>
      </w:r>
      <w:r>
        <w:rPr>
          <w:rFonts w:ascii="Arial" w:hAnsi="Arial" w:cs="Arial"/>
          <w:color w:val="333333"/>
        </w:rPr>
        <w:t xml:space="preserve"> NIST warns that </w:t>
      </w:r>
      <w:r w:rsidRPr="007F42D1">
        <w:rPr>
          <w:rFonts w:ascii="Arial" w:hAnsi="Arial" w:cs="Arial"/>
          <w:color w:val="333333"/>
        </w:rPr>
        <w:t xml:space="preserve">current policies, guidelines and controls for the cybersecurity and privacy of genomic data are inadequate and </w:t>
      </w:r>
      <w:r>
        <w:rPr>
          <w:rFonts w:ascii="Arial" w:hAnsi="Arial" w:cs="Arial"/>
          <w:color w:val="333333"/>
        </w:rPr>
        <w:t xml:space="preserve">requests input from the </w:t>
      </w:r>
      <w:r w:rsidRPr="007F42D1">
        <w:rPr>
          <w:rFonts w:ascii="Arial" w:hAnsi="Arial" w:cs="Arial"/>
          <w:color w:val="333333"/>
        </w:rPr>
        <w:t xml:space="preserve">public </w:t>
      </w:r>
      <w:r>
        <w:rPr>
          <w:rFonts w:ascii="Arial" w:hAnsi="Arial" w:cs="Arial"/>
          <w:color w:val="333333"/>
        </w:rPr>
        <w:t xml:space="preserve">on its </w:t>
      </w:r>
      <w:r w:rsidRPr="007F42D1">
        <w:rPr>
          <w:rFonts w:ascii="Arial" w:hAnsi="Arial" w:cs="Arial"/>
          <w:color w:val="333333"/>
        </w:rPr>
        <w:t>proposed use cases and protections.</w:t>
      </w:r>
      <w:r>
        <w:rPr>
          <w:rFonts w:ascii="Arial" w:hAnsi="Arial" w:cs="Arial"/>
          <w:color w:val="333333"/>
        </w:rPr>
        <w:t xml:space="preserve"> The agency </w:t>
      </w:r>
      <w:r w:rsidRPr="00A317C8">
        <w:rPr>
          <w:rFonts w:ascii="Arial" w:hAnsi="Arial" w:cs="Arial"/>
          <w:color w:val="333333"/>
        </w:rPr>
        <w:t>also proposes strategies to address real-life use cases occurring at various stages of the genomic data lifecycle and avenues for potential government regulations and policies.</w:t>
      </w:r>
    </w:p>
    <w:p w14:paraId="317DB7D5" w14:textId="17458B78" w:rsidR="00891E91" w:rsidRPr="00A317C8" w:rsidRDefault="00891E91" w:rsidP="00891E91">
      <w:pPr>
        <w:pStyle w:val="NormalWeb"/>
        <w:spacing w:after="225"/>
        <w:rPr>
          <w:rFonts w:ascii="Arial" w:hAnsi="Arial" w:cs="Arial"/>
        </w:rPr>
      </w:pPr>
      <w:r w:rsidRPr="00B76520">
        <w:rPr>
          <w:rFonts w:ascii="Arial" w:hAnsi="Arial" w:cs="Arial"/>
          <w:b/>
          <w:bCs/>
        </w:rPr>
        <w:t xml:space="preserve">2021 QPP Performance Information Now Available on Care Compare. </w:t>
      </w:r>
      <w:r w:rsidRPr="00B76520">
        <w:rPr>
          <w:rFonts w:ascii="Arial" w:hAnsi="Arial" w:cs="Arial"/>
        </w:rPr>
        <w:t xml:space="preserve">The Centers for Medicare &amp; Medicaid Services (CMS) has added new 2021 Quality Payment Program (QPP) performance information for doctors, clinicians, groups, virtual groups, and Accountable Care Organizations (ACOs) to the Doctors and Clinicians section of Medicare Care Compare and in the Provider Data Catalog (PDC). CMS is required to report MIPS eligible clinicians’ final scores, MIPS eligible clinicians’ performances under each MIPS performance category, names of eligible clinicians in Advanced APMs and, to the extent feasible, the names and performance of such Advanced APMs. </w:t>
      </w:r>
      <w:r>
        <w:rPr>
          <w:rFonts w:ascii="Arial" w:hAnsi="Arial" w:cs="Arial"/>
        </w:rPr>
        <w:br/>
      </w:r>
      <w:r>
        <w:rPr>
          <w:rFonts w:ascii="Arial" w:hAnsi="Arial" w:cs="Arial"/>
        </w:rPr>
        <w:br/>
      </w:r>
      <w:r w:rsidRPr="00B76520">
        <w:rPr>
          <w:rFonts w:ascii="Arial" w:hAnsi="Arial" w:cs="Arial"/>
        </w:rPr>
        <w:t xml:space="preserve">Performance information for doctors and clinicians is displayed using measure-level star ratings, percent performance scores, and checkmarks. Medicare patients and caregivers can use the Care Compare website to search for and compare doctors, clinicians, and groups who are enrolled in Medicare. Publicly reporting 2021 QPP performance information helps empower patients to select and access the right care from the right provider. The Care Compare: Doctors and Clinicians Initiative webpage provides details about the 2021 QPP performance and includes a number of useful resources. CMS Provides </w:t>
      </w:r>
      <w:r w:rsidRPr="00A378A1">
        <w:rPr>
          <w:rFonts w:ascii="Arial" w:hAnsi="Arial" w:cs="Arial"/>
        </w:rPr>
        <w:t>2023 MIPS MVPs Updates</w:t>
      </w:r>
      <w:r w:rsidRPr="00B76520">
        <w:rPr>
          <w:rFonts w:ascii="Arial" w:hAnsi="Arial" w:cs="Arial"/>
        </w:rPr>
        <w:t>.</w:t>
      </w:r>
      <w:r>
        <w:rPr>
          <w:rFonts w:ascii="Arial" w:hAnsi="Arial" w:cs="Arial"/>
          <w:b/>
          <w:bCs/>
        </w:rPr>
        <w:t xml:space="preserve"> </w:t>
      </w:r>
      <w:r>
        <w:rPr>
          <w:rFonts w:ascii="Arial" w:hAnsi="Arial" w:cs="Arial"/>
        </w:rPr>
        <w:t xml:space="preserve">CMS has provided an update for its Merit-based Incentive Payment System (MIPS) Value Pathway (MVP). </w:t>
      </w:r>
      <w:r w:rsidRPr="00A378A1">
        <w:rPr>
          <w:rFonts w:ascii="Arial" w:hAnsi="Arial" w:cs="Arial"/>
        </w:rPr>
        <w:t xml:space="preserve">Reporting a MIPS MVP is a new </w:t>
      </w:r>
      <w:r w:rsidRPr="00A378A1">
        <w:rPr>
          <w:rFonts w:ascii="Arial" w:hAnsi="Arial" w:cs="Arial"/>
        </w:rPr>
        <w:lastRenderedPageBreak/>
        <w:t xml:space="preserve">option for </w:t>
      </w:r>
      <w:r>
        <w:rPr>
          <w:rFonts w:ascii="Arial" w:hAnsi="Arial" w:cs="Arial"/>
        </w:rPr>
        <w:t xml:space="preserve">providers </w:t>
      </w:r>
      <w:r w:rsidRPr="00A378A1">
        <w:rPr>
          <w:rFonts w:ascii="Arial" w:hAnsi="Arial" w:cs="Arial"/>
        </w:rPr>
        <w:t>meeting MIPS reporting requirements in the 2023 performance year of the Quality Payment Program (QPP).</w:t>
      </w:r>
      <w:r>
        <w:rPr>
          <w:rFonts w:ascii="Arial" w:hAnsi="Arial" w:cs="Arial"/>
        </w:rPr>
        <w:t xml:space="preserve"> CMS has developed the </w:t>
      </w:r>
      <w:hyperlink r:id="rId10" w:history="1">
        <w:r w:rsidRPr="00A378A1">
          <w:rPr>
            <w:rStyle w:val="Hyperlink"/>
            <w:rFonts w:ascii="Arial" w:hAnsi="Arial" w:cs="Arial"/>
          </w:rPr>
          <w:t>Explore MVPs webpage</w:t>
        </w:r>
      </w:hyperlink>
      <w:r w:rsidRPr="00A378A1">
        <w:rPr>
          <w:rFonts w:ascii="Arial" w:hAnsi="Arial" w:cs="Arial"/>
        </w:rPr>
        <w:t xml:space="preserve"> </w:t>
      </w:r>
      <w:r>
        <w:rPr>
          <w:rFonts w:ascii="Arial" w:hAnsi="Arial" w:cs="Arial"/>
        </w:rPr>
        <w:t xml:space="preserve">for providers </w:t>
      </w:r>
      <w:r w:rsidRPr="00A378A1">
        <w:rPr>
          <w:rFonts w:ascii="Arial" w:hAnsi="Arial" w:cs="Arial"/>
        </w:rPr>
        <w:t xml:space="preserve">to learn more about MVP reporting and the 12 finalized MVPs available for the 2023 performance year. </w:t>
      </w:r>
      <w:r>
        <w:rPr>
          <w:rFonts w:ascii="Arial" w:hAnsi="Arial" w:cs="Arial"/>
        </w:rPr>
        <w:t xml:space="preserve">Providers </w:t>
      </w:r>
      <w:r w:rsidRPr="00A378A1">
        <w:rPr>
          <w:rFonts w:ascii="Arial" w:hAnsi="Arial" w:cs="Arial"/>
        </w:rPr>
        <w:t xml:space="preserve">can </w:t>
      </w:r>
      <w:r>
        <w:rPr>
          <w:rFonts w:ascii="Arial" w:hAnsi="Arial" w:cs="Arial"/>
        </w:rPr>
        <w:t xml:space="preserve">also </w:t>
      </w:r>
      <w:r w:rsidRPr="00A378A1">
        <w:rPr>
          <w:rFonts w:ascii="Arial" w:hAnsi="Arial" w:cs="Arial"/>
        </w:rPr>
        <w:t>review all the finalized MVPs on the webpage, including the measures and activities in each MVP.</w:t>
      </w:r>
      <w:r>
        <w:rPr>
          <w:rFonts w:ascii="Arial" w:hAnsi="Arial" w:cs="Arial"/>
        </w:rPr>
        <w:t xml:space="preserve"> Providers </w:t>
      </w:r>
      <w:r w:rsidRPr="00A378A1">
        <w:rPr>
          <w:rFonts w:ascii="Arial" w:hAnsi="Arial" w:cs="Arial"/>
        </w:rPr>
        <w:t xml:space="preserve">can also </w:t>
      </w:r>
      <w:r w:rsidR="00150ED0">
        <w:rPr>
          <w:rFonts w:ascii="Arial" w:hAnsi="Arial" w:cs="Arial"/>
        </w:rPr>
        <w:t>click</w:t>
      </w:r>
      <w:r>
        <w:rPr>
          <w:rFonts w:ascii="Arial" w:hAnsi="Arial" w:cs="Arial"/>
        </w:rPr>
        <w:t xml:space="preserve"> </w:t>
      </w:r>
      <w:hyperlink r:id="rId11" w:history="1">
        <w:r w:rsidRPr="005A61EB">
          <w:rPr>
            <w:rStyle w:val="Hyperlink"/>
            <w:rFonts w:ascii="Arial" w:hAnsi="Arial" w:cs="Arial"/>
          </w:rPr>
          <w:t>h</w:t>
        </w:r>
        <w:r w:rsidRPr="005A61EB">
          <w:rPr>
            <w:rStyle w:val="Hyperlink"/>
            <w:rFonts w:ascii="Arial" w:hAnsi="Arial" w:cs="Arial"/>
          </w:rPr>
          <w:t>e</w:t>
        </w:r>
        <w:r w:rsidRPr="005A61EB">
          <w:rPr>
            <w:rStyle w:val="Hyperlink"/>
            <w:rFonts w:ascii="Arial" w:hAnsi="Arial" w:cs="Arial"/>
          </w:rPr>
          <w:t>re</w:t>
        </w:r>
      </w:hyperlink>
      <w:r>
        <w:rPr>
          <w:rFonts w:ascii="Arial" w:hAnsi="Arial" w:cs="Arial"/>
        </w:rPr>
        <w:t xml:space="preserve"> to </w:t>
      </w:r>
      <w:r w:rsidR="00150ED0">
        <w:rPr>
          <w:rFonts w:ascii="Arial" w:hAnsi="Arial" w:cs="Arial"/>
        </w:rPr>
        <w:t>download the</w:t>
      </w:r>
      <w:r w:rsidRPr="00A378A1">
        <w:rPr>
          <w:rFonts w:ascii="Arial" w:hAnsi="Arial" w:cs="Arial"/>
        </w:rPr>
        <w:t xml:space="preserve"> 2023 MVPs Implementation Guide</w:t>
      </w:r>
      <w:r>
        <w:rPr>
          <w:rFonts w:ascii="Arial" w:hAnsi="Arial" w:cs="Arial"/>
        </w:rPr>
        <w:t>.</w:t>
      </w:r>
    </w:p>
    <w:p w14:paraId="3F024324" w14:textId="77777777" w:rsidR="00891E91" w:rsidRPr="00E72F69" w:rsidRDefault="00891E91" w:rsidP="00891E91">
      <w:pPr>
        <w:pStyle w:val="NormalWeb"/>
        <w:spacing w:after="225"/>
        <w:rPr>
          <w:rFonts w:ascii="Arial" w:hAnsi="Arial" w:cs="Arial"/>
        </w:rPr>
      </w:pPr>
      <w:r w:rsidRPr="00E72F69">
        <w:rPr>
          <w:rFonts w:ascii="Arial" w:hAnsi="Arial" w:cs="Arial"/>
          <w:b/>
          <w:bCs/>
        </w:rPr>
        <w:t>ONC Outlines Interoperability Progress</w:t>
      </w:r>
      <w:r>
        <w:rPr>
          <w:rFonts w:ascii="Arial" w:hAnsi="Arial" w:cs="Arial"/>
        </w:rPr>
        <w:t xml:space="preserve">. In a </w:t>
      </w:r>
      <w:hyperlink r:id="rId12" w:history="1">
        <w:r w:rsidRPr="00A219BC">
          <w:rPr>
            <w:rStyle w:val="Hyperlink"/>
            <w:rFonts w:ascii="Arial" w:hAnsi="Arial" w:cs="Arial"/>
          </w:rPr>
          <w:t>blog post</w:t>
        </w:r>
      </w:hyperlink>
      <w:r>
        <w:rPr>
          <w:rFonts w:ascii="Arial" w:hAnsi="Arial" w:cs="Arial"/>
        </w:rPr>
        <w:t>, the Office of the National Coordinator for Health IT (ONC) discusses r</w:t>
      </w:r>
      <w:r w:rsidRPr="00E72F69">
        <w:rPr>
          <w:rFonts w:ascii="Arial" w:hAnsi="Arial" w:cs="Arial"/>
        </w:rPr>
        <w:t xml:space="preserve">ecent updates from HHS and ONC </w:t>
      </w:r>
      <w:r>
        <w:rPr>
          <w:rFonts w:ascii="Arial" w:hAnsi="Arial" w:cs="Arial"/>
        </w:rPr>
        <w:t xml:space="preserve">that outline </w:t>
      </w:r>
      <w:r w:rsidRPr="00E72F69">
        <w:rPr>
          <w:rFonts w:ascii="Arial" w:hAnsi="Arial" w:cs="Arial"/>
        </w:rPr>
        <w:t xml:space="preserve">the impact that Cures Act implementation has had on </w:t>
      </w:r>
      <w:r>
        <w:rPr>
          <w:rFonts w:ascii="Arial" w:hAnsi="Arial" w:cs="Arial"/>
        </w:rPr>
        <w:t xml:space="preserve">the </w:t>
      </w:r>
      <w:r w:rsidRPr="00E72F69">
        <w:rPr>
          <w:rFonts w:ascii="Arial" w:hAnsi="Arial" w:cs="Arial"/>
        </w:rPr>
        <w:t>nation’s health IT infrastructure.</w:t>
      </w:r>
      <w:r>
        <w:rPr>
          <w:rFonts w:ascii="Arial" w:hAnsi="Arial" w:cs="Arial"/>
        </w:rPr>
        <w:t xml:space="preserve"> These include n</w:t>
      </w:r>
      <w:r w:rsidRPr="00E72F69">
        <w:rPr>
          <w:rFonts w:ascii="Arial" w:hAnsi="Arial" w:cs="Arial"/>
        </w:rPr>
        <w:t xml:space="preserve">etwork </w:t>
      </w:r>
      <w:r>
        <w:rPr>
          <w:rFonts w:ascii="Arial" w:hAnsi="Arial" w:cs="Arial"/>
        </w:rPr>
        <w:t>i</w:t>
      </w:r>
      <w:r w:rsidRPr="00E72F69">
        <w:rPr>
          <w:rFonts w:ascii="Arial" w:hAnsi="Arial" w:cs="Arial"/>
        </w:rPr>
        <w:t>nteroperability</w:t>
      </w:r>
      <w:r>
        <w:rPr>
          <w:rFonts w:ascii="Arial" w:hAnsi="Arial" w:cs="Arial"/>
        </w:rPr>
        <w:t xml:space="preserve">, with </w:t>
      </w:r>
      <w:r w:rsidRPr="00E72F69">
        <w:rPr>
          <w:rFonts w:ascii="Arial" w:hAnsi="Arial" w:cs="Arial"/>
        </w:rPr>
        <w:t>HHS recognizing the first set of applicant organizations approved for onboarding as Qualified Health Information Networks under the Trusted Exchange Framework and Common Agreement (TEFCA). Collectively, the QHIN applicants have networks that cover most U.S. hospitals, tens of thousands of providers, and process billions of annual transactions across all fifty states.</w:t>
      </w:r>
      <w:r>
        <w:rPr>
          <w:rFonts w:ascii="Arial" w:hAnsi="Arial" w:cs="Arial"/>
        </w:rPr>
        <w:t xml:space="preserve"> As well, c</w:t>
      </w:r>
      <w:r w:rsidRPr="00E72F69">
        <w:rPr>
          <w:rFonts w:ascii="Arial" w:hAnsi="Arial" w:cs="Arial"/>
        </w:rPr>
        <w:t>ertified health IT developers are offering products that meet the ONC Cures Act Final Rule requirements; this includes making secure, standardized application programming interfaces (APIs) available for business-to-business and business-to-consumer exchange.</w:t>
      </w:r>
      <w:r>
        <w:rPr>
          <w:rFonts w:ascii="Arial" w:hAnsi="Arial" w:cs="Arial"/>
        </w:rPr>
        <w:t xml:space="preserve"> Finally, c</w:t>
      </w:r>
      <w:r w:rsidRPr="00E72F69">
        <w:rPr>
          <w:rFonts w:ascii="Arial" w:hAnsi="Arial" w:cs="Arial"/>
        </w:rPr>
        <w:t>ertified health IT developers have incorporated United States Core Data for Interoperability (USCDI) data elements in their products and ONC kicked off another annual round of United States Core for Data Interoperability version updates, proposing to add 20 data elements and one new data class (Facility Information) to the standardized set of health data classes and data elements that serve as a baseline for health information exchange and inform interoperable health IT implementations.</w:t>
      </w:r>
    </w:p>
    <w:p w14:paraId="54D690F9" w14:textId="77777777" w:rsidR="00891E91" w:rsidRPr="006F3C30" w:rsidRDefault="00891E91" w:rsidP="00891E91">
      <w:pPr>
        <w:pStyle w:val="NormalWeb"/>
        <w:spacing w:before="0" w:beforeAutospacing="0" w:after="225" w:afterAutospacing="0"/>
        <w:rPr>
          <w:rFonts w:ascii="Arial" w:hAnsi="Arial" w:cs="Arial"/>
        </w:rPr>
      </w:pPr>
      <w:r>
        <w:rPr>
          <w:rFonts w:ascii="Arial" w:hAnsi="Arial" w:cs="Arial"/>
          <w:b/>
          <w:bCs/>
        </w:rPr>
        <w:t xml:space="preserve">ONC to Host HIT Developer Roundtable March 22. </w:t>
      </w:r>
      <w:r>
        <w:rPr>
          <w:rFonts w:ascii="Arial" w:hAnsi="Arial" w:cs="Arial"/>
          <w:color w:val="333333"/>
        </w:rPr>
        <w:t xml:space="preserve">ONC is hosting a Health IT Certification Program Developer Roundtable on </w:t>
      </w:r>
      <w:r w:rsidRPr="006F3C30">
        <w:rPr>
          <w:rFonts w:ascii="Arial" w:hAnsi="Arial" w:cs="Arial"/>
          <w:color w:val="333333"/>
        </w:rPr>
        <w:t>March 22, 2023</w:t>
      </w:r>
      <w:r>
        <w:rPr>
          <w:rFonts w:ascii="Arial" w:hAnsi="Arial" w:cs="Arial"/>
          <w:b/>
          <w:bCs/>
          <w:color w:val="333333"/>
        </w:rPr>
        <w:t xml:space="preserve">. </w:t>
      </w:r>
      <w:r>
        <w:rPr>
          <w:rFonts w:ascii="Arial" w:hAnsi="Arial" w:cs="Arial"/>
          <w:color w:val="333333"/>
        </w:rPr>
        <w:t>These public meetings are open to all health IT developers, regardless of their participation in the ONC Health IT Certification Program. During these meetings, ONC will lead discussions tailored for the health IT developer community on topics such as Certification Program updates, upcoming certification deadlines, and developer requirements. Go</w:t>
      </w:r>
      <w:hyperlink r:id="rId13" w:history="1">
        <w:r w:rsidRPr="007C7E4C">
          <w:rPr>
            <w:rStyle w:val="Hyperlink"/>
            <w:rFonts w:ascii="Arial" w:hAnsi="Arial" w:cs="Arial"/>
          </w:rPr>
          <w:t xml:space="preserve"> her</w:t>
        </w:r>
        <w:r w:rsidRPr="007C7E4C">
          <w:rPr>
            <w:rStyle w:val="Hyperlink"/>
            <w:rFonts w:ascii="Arial" w:hAnsi="Arial" w:cs="Arial"/>
          </w:rPr>
          <w:t>e</w:t>
        </w:r>
      </w:hyperlink>
      <w:r>
        <w:rPr>
          <w:rFonts w:ascii="Arial" w:hAnsi="Arial" w:cs="Arial"/>
          <w:color w:val="333333"/>
        </w:rPr>
        <w:t xml:space="preserve"> for more information or to register. </w:t>
      </w:r>
    </w:p>
    <w:p w14:paraId="46847294" w14:textId="77777777" w:rsidR="00891E91" w:rsidRDefault="00891E91" w:rsidP="00891E91">
      <w:pPr>
        <w:pStyle w:val="NormalWeb"/>
        <w:spacing w:before="0" w:beforeAutospacing="0" w:after="225" w:afterAutospacing="0"/>
        <w:rPr>
          <w:rFonts w:ascii="Arial" w:hAnsi="Arial" w:cs="Arial"/>
        </w:rPr>
      </w:pPr>
      <w:r w:rsidRPr="00F07C1B">
        <w:rPr>
          <w:rFonts w:ascii="Arial" w:hAnsi="Arial" w:cs="Arial"/>
          <w:b/>
          <w:bCs/>
        </w:rPr>
        <w:t>DC Data Breach Includes Members of Congress</w:t>
      </w:r>
      <w:r>
        <w:rPr>
          <w:rFonts w:ascii="Arial" w:hAnsi="Arial" w:cs="Arial"/>
        </w:rPr>
        <w:t xml:space="preserve">. The Associated Press (AP) has </w:t>
      </w:r>
      <w:hyperlink r:id="rId14" w:history="1">
        <w:r w:rsidRPr="00F07C1B">
          <w:rPr>
            <w:rStyle w:val="Hyperlink"/>
            <w:rFonts w:ascii="Arial" w:hAnsi="Arial" w:cs="Arial"/>
          </w:rPr>
          <w:t>reported</w:t>
        </w:r>
      </w:hyperlink>
      <w:r>
        <w:rPr>
          <w:rFonts w:ascii="Arial" w:hAnsi="Arial" w:cs="Arial"/>
        </w:rPr>
        <w:t xml:space="preserve"> that members of Congress and their families were included in the individuals impacted by a </w:t>
      </w:r>
      <w:r w:rsidRPr="00F07C1B">
        <w:rPr>
          <w:rFonts w:ascii="Arial" w:hAnsi="Arial" w:cs="Arial"/>
        </w:rPr>
        <w:t xml:space="preserve">data breach on the District of Columbia's health insurance exchange exposed personal data on members of Congress, their families and employees, according to </w:t>
      </w:r>
      <w:r>
        <w:rPr>
          <w:rFonts w:ascii="Arial" w:hAnsi="Arial" w:cs="Arial"/>
        </w:rPr>
        <w:t>the AP</w:t>
      </w:r>
      <w:r w:rsidRPr="00F07C1B">
        <w:rPr>
          <w:rFonts w:ascii="Arial" w:hAnsi="Arial" w:cs="Arial"/>
        </w:rPr>
        <w:t>.</w:t>
      </w:r>
      <w:r>
        <w:rPr>
          <w:rFonts w:ascii="Arial" w:hAnsi="Arial" w:cs="Arial"/>
        </w:rPr>
        <w:t xml:space="preserve"> </w:t>
      </w:r>
      <w:r w:rsidRPr="00F07C1B">
        <w:rPr>
          <w:rFonts w:ascii="Arial" w:hAnsi="Arial" w:cs="Arial"/>
        </w:rPr>
        <w:t>DC Health Link </w:t>
      </w:r>
      <w:r>
        <w:rPr>
          <w:rFonts w:ascii="Arial" w:hAnsi="Arial" w:cs="Arial"/>
        </w:rPr>
        <w:t xml:space="preserve">confirmed the breach but has not released the number of individuals impacted. </w:t>
      </w:r>
    </w:p>
    <w:p w14:paraId="622C749A" w14:textId="77777777" w:rsidR="00891E91" w:rsidRPr="00A317C8" w:rsidRDefault="00891E91" w:rsidP="00891E91">
      <w:pPr>
        <w:pStyle w:val="NormalWeb"/>
        <w:spacing w:before="0" w:after="225"/>
        <w:rPr>
          <w:rFonts w:ascii="Arial" w:hAnsi="Arial" w:cs="Arial"/>
        </w:rPr>
      </w:pPr>
      <w:r w:rsidRPr="00B9137C">
        <w:rPr>
          <w:rFonts w:ascii="Arial" w:hAnsi="Arial" w:cs="Arial"/>
          <w:b/>
          <w:bCs/>
        </w:rPr>
        <w:t xml:space="preserve">FTC Reaches $7.8 million Settlement with </w:t>
      </w:r>
      <w:proofErr w:type="spellStart"/>
      <w:r w:rsidRPr="00B9137C">
        <w:rPr>
          <w:rFonts w:ascii="Arial" w:hAnsi="Arial" w:cs="Arial"/>
          <w:b/>
          <w:bCs/>
        </w:rPr>
        <w:t>BetterHelp</w:t>
      </w:r>
      <w:proofErr w:type="spellEnd"/>
      <w:r>
        <w:rPr>
          <w:rFonts w:ascii="Arial" w:hAnsi="Arial" w:cs="Arial"/>
        </w:rPr>
        <w:t xml:space="preserve"> </w:t>
      </w:r>
      <w:r w:rsidRPr="00B9137C">
        <w:rPr>
          <w:rFonts w:ascii="Arial" w:hAnsi="Arial" w:cs="Arial"/>
          <w:b/>
          <w:bCs/>
        </w:rPr>
        <w:t>Regarding Data Sharing Practices</w:t>
      </w:r>
      <w:r>
        <w:rPr>
          <w:rFonts w:ascii="Arial" w:hAnsi="Arial" w:cs="Arial"/>
        </w:rPr>
        <w:t xml:space="preserve">. </w:t>
      </w:r>
      <w:r w:rsidRPr="00B9137C">
        <w:rPr>
          <w:rFonts w:ascii="Arial" w:hAnsi="Arial" w:cs="Arial"/>
        </w:rPr>
        <w:t>The Federal Trade Commission (FTC) </w:t>
      </w:r>
      <w:hyperlink r:id="rId15" w:history="1">
        <w:r w:rsidRPr="00497A91">
          <w:rPr>
            <w:rStyle w:val="Hyperlink"/>
            <w:rFonts w:ascii="Arial" w:hAnsi="Arial" w:cs="Arial"/>
          </w:rPr>
          <w:t>announced</w:t>
        </w:r>
      </w:hyperlink>
      <w:r>
        <w:rPr>
          <w:rFonts w:ascii="Arial" w:hAnsi="Arial" w:cs="Arial"/>
        </w:rPr>
        <w:t xml:space="preserve"> </w:t>
      </w:r>
      <w:r w:rsidRPr="00B9137C">
        <w:rPr>
          <w:rFonts w:ascii="Arial" w:hAnsi="Arial" w:cs="Arial"/>
        </w:rPr>
        <w:t xml:space="preserve">a $7.8 million settlement with online counseling service </w:t>
      </w:r>
      <w:proofErr w:type="spellStart"/>
      <w:r w:rsidRPr="00B9137C">
        <w:rPr>
          <w:rFonts w:ascii="Arial" w:hAnsi="Arial" w:cs="Arial"/>
        </w:rPr>
        <w:t>BetterHelp</w:t>
      </w:r>
      <w:proofErr w:type="spellEnd"/>
      <w:r>
        <w:rPr>
          <w:rFonts w:ascii="Arial" w:hAnsi="Arial" w:cs="Arial"/>
        </w:rPr>
        <w:t xml:space="preserve">. The settlement </w:t>
      </w:r>
      <w:r w:rsidRPr="00B9137C">
        <w:rPr>
          <w:rFonts w:ascii="Arial" w:hAnsi="Arial" w:cs="Arial"/>
        </w:rPr>
        <w:t>resolv</w:t>
      </w:r>
      <w:r>
        <w:rPr>
          <w:rFonts w:ascii="Arial" w:hAnsi="Arial" w:cs="Arial"/>
        </w:rPr>
        <w:t>es</w:t>
      </w:r>
      <w:r w:rsidRPr="00B9137C">
        <w:rPr>
          <w:rFonts w:ascii="Arial" w:hAnsi="Arial" w:cs="Arial"/>
        </w:rPr>
        <w:t xml:space="preserve"> allegations of improper health data sharing practices. </w:t>
      </w:r>
      <w:r>
        <w:rPr>
          <w:rFonts w:ascii="Arial" w:hAnsi="Arial" w:cs="Arial"/>
        </w:rPr>
        <w:t>T</w:t>
      </w:r>
      <w:r w:rsidRPr="00B9137C">
        <w:rPr>
          <w:rFonts w:ascii="Arial" w:hAnsi="Arial" w:cs="Arial"/>
        </w:rPr>
        <w:t>he company allegedly shared consumer email addresses, health questionnaire responses, and IP addresses with Facebook, Criteo, Snapchat, and Pinterest</w:t>
      </w:r>
      <w:r>
        <w:rPr>
          <w:rFonts w:ascii="Arial" w:hAnsi="Arial" w:cs="Arial"/>
        </w:rPr>
        <w:t xml:space="preserve">. </w:t>
      </w:r>
      <w:r w:rsidRPr="00B9137C">
        <w:rPr>
          <w:rFonts w:ascii="Arial" w:hAnsi="Arial" w:cs="Arial"/>
        </w:rPr>
        <w:t xml:space="preserve">The </w:t>
      </w:r>
      <w:r>
        <w:rPr>
          <w:rFonts w:ascii="Arial" w:hAnsi="Arial" w:cs="Arial"/>
        </w:rPr>
        <w:t xml:space="preserve">settlement includes a requirement that </w:t>
      </w:r>
      <w:proofErr w:type="spellStart"/>
      <w:r w:rsidRPr="00B9137C">
        <w:rPr>
          <w:rFonts w:ascii="Arial" w:hAnsi="Arial" w:cs="Arial"/>
        </w:rPr>
        <w:t>BetterHelp</w:t>
      </w:r>
      <w:proofErr w:type="spellEnd"/>
      <w:r w:rsidRPr="00B9137C">
        <w:rPr>
          <w:rFonts w:ascii="Arial" w:hAnsi="Arial" w:cs="Arial"/>
        </w:rPr>
        <w:t xml:space="preserve"> obtain affirmative consent before disclosing health information to third parties and requires </w:t>
      </w:r>
      <w:r>
        <w:rPr>
          <w:rFonts w:ascii="Arial" w:hAnsi="Arial" w:cs="Arial"/>
        </w:rPr>
        <w:t xml:space="preserve">the service </w:t>
      </w:r>
      <w:r w:rsidRPr="00B9137C">
        <w:rPr>
          <w:rFonts w:ascii="Arial" w:hAnsi="Arial" w:cs="Arial"/>
        </w:rPr>
        <w:t>to implement a comprehensive privacy program</w:t>
      </w:r>
      <w:r>
        <w:rPr>
          <w:rFonts w:ascii="Arial" w:hAnsi="Arial" w:cs="Arial"/>
        </w:rPr>
        <w:t>.</w:t>
      </w:r>
      <w:r w:rsidRPr="00B9137C">
        <w:rPr>
          <w:rFonts w:ascii="Arial" w:hAnsi="Arial" w:cs="Arial"/>
        </w:rPr>
        <w:t xml:space="preserve"> </w:t>
      </w:r>
      <w:r>
        <w:rPr>
          <w:rFonts w:ascii="Arial" w:hAnsi="Arial" w:cs="Arial"/>
        </w:rPr>
        <w:t>T</w:t>
      </w:r>
      <w:r w:rsidRPr="00B9137C">
        <w:rPr>
          <w:rFonts w:ascii="Arial" w:hAnsi="Arial" w:cs="Arial"/>
        </w:rPr>
        <w:t xml:space="preserve">he FTC </w:t>
      </w:r>
      <w:r>
        <w:rPr>
          <w:rFonts w:ascii="Arial" w:hAnsi="Arial" w:cs="Arial"/>
        </w:rPr>
        <w:t xml:space="preserve">also prohibits </w:t>
      </w:r>
      <w:proofErr w:type="spellStart"/>
      <w:r>
        <w:rPr>
          <w:rFonts w:ascii="Arial" w:hAnsi="Arial" w:cs="Arial"/>
        </w:rPr>
        <w:t>BetterHelp</w:t>
      </w:r>
      <w:proofErr w:type="spellEnd"/>
      <w:r>
        <w:rPr>
          <w:rFonts w:ascii="Arial" w:hAnsi="Arial" w:cs="Arial"/>
        </w:rPr>
        <w:t xml:space="preserve"> </w:t>
      </w:r>
      <w:r w:rsidRPr="00B9137C">
        <w:rPr>
          <w:rFonts w:ascii="Arial" w:hAnsi="Arial" w:cs="Arial"/>
        </w:rPr>
        <w:t>from sharing consumer health data for advertising purposes in the future.</w:t>
      </w:r>
    </w:p>
    <w:p w14:paraId="0AD6263A" w14:textId="17591B42" w:rsidR="00A2055F" w:rsidRPr="0044054E" w:rsidRDefault="00A2055F" w:rsidP="0044054E">
      <w:pPr>
        <w:shd w:val="clear" w:color="auto" w:fill="FFFFFF"/>
        <w:spacing w:after="300"/>
        <w:rPr>
          <w:rFonts w:ascii="Arial" w:hAnsi="Arial" w:cs="Arial"/>
          <w:b/>
          <w:bCs/>
          <w:sz w:val="24"/>
          <w:szCs w:val="24"/>
        </w:rPr>
      </w:pPr>
    </w:p>
    <w:sectPr w:rsidR="00A2055F" w:rsidRPr="0044054E" w:rsidSect="007704B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Helvetica">
    <w:panose1 w:val="00000000000000000000"/>
    <w:charset w:val="00"/>
    <w:family w:val="auto"/>
    <w:pitch w:val="variable"/>
    <w:sig w:usb0="E00002FF" w:usb1="5000785B" w:usb2="00000000" w:usb3="00000000" w:csb0="0000019F" w:csb1="00000000"/>
  </w:font>
  <w:font w:name="Yu Mincho">
    <w:panose1 w:val="02020400000000000000"/>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EE2808"/>
    <w:multiLevelType w:val="multilevel"/>
    <w:tmpl w:val="ED46265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7022557"/>
    <w:multiLevelType w:val="multilevel"/>
    <w:tmpl w:val="82CA25E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4427742"/>
    <w:multiLevelType w:val="multilevel"/>
    <w:tmpl w:val="CF465A1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9582FC9"/>
    <w:multiLevelType w:val="multilevel"/>
    <w:tmpl w:val="F08E35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86464867">
    <w:abstractNumId w:val="3"/>
  </w:num>
  <w:num w:numId="2" w16cid:durableId="1920016100">
    <w:abstractNumId w:val="2"/>
  </w:num>
  <w:num w:numId="3" w16cid:durableId="1316059953">
    <w:abstractNumId w:val="1"/>
  </w:num>
  <w:num w:numId="4" w16cid:durableId="1685858439">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8"/>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1116"/>
    <w:rsid w:val="00002806"/>
    <w:rsid w:val="00016EB6"/>
    <w:rsid w:val="000270A8"/>
    <w:rsid w:val="000312CC"/>
    <w:rsid w:val="00037453"/>
    <w:rsid w:val="00041BA3"/>
    <w:rsid w:val="00044C94"/>
    <w:rsid w:val="000522BE"/>
    <w:rsid w:val="00053AA0"/>
    <w:rsid w:val="00055271"/>
    <w:rsid w:val="00056062"/>
    <w:rsid w:val="00061285"/>
    <w:rsid w:val="00061DA0"/>
    <w:rsid w:val="00066335"/>
    <w:rsid w:val="00067215"/>
    <w:rsid w:val="000700B6"/>
    <w:rsid w:val="00071F43"/>
    <w:rsid w:val="0007311A"/>
    <w:rsid w:val="00075C2A"/>
    <w:rsid w:val="0007744A"/>
    <w:rsid w:val="0008347D"/>
    <w:rsid w:val="00083E38"/>
    <w:rsid w:val="000910E7"/>
    <w:rsid w:val="0009250B"/>
    <w:rsid w:val="00092DCF"/>
    <w:rsid w:val="000932E9"/>
    <w:rsid w:val="00095F61"/>
    <w:rsid w:val="000A367E"/>
    <w:rsid w:val="000B1261"/>
    <w:rsid w:val="000C5D64"/>
    <w:rsid w:val="000D20FD"/>
    <w:rsid w:val="000D5CDE"/>
    <w:rsid w:val="000D5E6E"/>
    <w:rsid w:val="000E1202"/>
    <w:rsid w:val="000E218C"/>
    <w:rsid w:val="000E2B49"/>
    <w:rsid w:val="000E3918"/>
    <w:rsid w:val="000E633E"/>
    <w:rsid w:val="000E6762"/>
    <w:rsid w:val="000F050B"/>
    <w:rsid w:val="000F60FA"/>
    <w:rsid w:val="00101B9A"/>
    <w:rsid w:val="001058E5"/>
    <w:rsid w:val="001062B4"/>
    <w:rsid w:val="001203DF"/>
    <w:rsid w:val="00127834"/>
    <w:rsid w:val="00130F83"/>
    <w:rsid w:val="00142583"/>
    <w:rsid w:val="00142DA9"/>
    <w:rsid w:val="00144981"/>
    <w:rsid w:val="001464FF"/>
    <w:rsid w:val="00150ED0"/>
    <w:rsid w:val="00154E7D"/>
    <w:rsid w:val="00160BFB"/>
    <w:rsid w:val="00162E01"/>
    <w:rsid w:val="00163C28"/>
    <w:rsid w:val="00166D25"/>
    <w:rsid w:val="00167554"/>
    <w:rsid w:val="00170135"/>
    <w:rsid w:val="00175DAB"/>
    <w:rsid w:val="00176287"/>
    <w:rsid w:val="0017680B"/>
    <w:rsid w:val="00177CF7"/>
    <w:rsid w:val="00180974"/>
    <w:rsid w:val="00182DDD"/>
    <w:rsid w:val="0018332B"/>
    <w:rsid w:val="00184CD6"/>
    <w:rsid w:val="0018771E"/>
    <w:rsid w:val="00193DBB"/>
    <w:rsid w:val="00194504"/>
    <w:rsid w:val="00195178"/>
    <w:rsid w:val="00195BFD"/>
    <w:rsid w:val="00196492"/>
    <w:rsid w:val="00197C15"/>
    <w:rsid w:val="001A21D5"/>
    <w:rsid w:val="001A638F"/>
    <w:rsid w:val="001B3E01"/>
    <w:rsid w:val="001C04AE"/>
    <w:rsid w:val="001C1E14"/>
    <w:rsid w:val="001C2A7A"/>
    <w:rsid w:val="001C4677"/>
    <w:rsid w:val="001D099F"/>
    <w:rsid w:val="001D0F4E"/>
    <w:rsid w:val="001D406B"/>
    <w:rsid w:val="001E3962"/>
    <w:rsid w:val="001F2023"/>
    <w:rsid w:val="001F2BEF"/>
    <w:rsid w:val="001F53B8"/>
    <w:rsid w:val="0020098D"/>
    <w:rsid w:val="00201344"/>
    <w:rsid w:val="0021032B"/>
    <w:rsid w:val="0021113F"/>
    <w:rsid w:val="00212828"/>
    <w:rsid w:val="00227EE1"/>
    <w:rsid w:val="00231116"/>
    <w:rsid w:val="00231B05"/>
    <w:rsid w:val="00231BF2"/>
    <w:rsid w:val="002361CF"/>
    <w:rsid w:val="00241B18"/>
    <w:rsid w:val="00246974"/>
    <w:rsid w:val="00247B6A"/>
    <w:rsid w:val="0025275E"/>
    <w:rsid w:val="00255A09"/>
    <w:rsid w:val="00255C5D"/>
    <w:rsid w:val="00257CB7"/>
    <w:rsid w:val="002603D0"/>
    <w:rsid w:val="0026197F"/>
    <w:rsid w:val="00265772"/>
    <w:rsid w:val="002711AE"/>
    <w:rsid w:val="00273713"/>
    <w:rsid w:val="00274ECC"/>
    <w:rsid w:val="00281BF1"/>
    <w:rsid w:val="00282400"/>
    <w:rsid w:val="0029213A"/>
    <w:rsid w:val="00297B4A"/>
    <w:rsid w:val="00297E0E"/>
    <w:rsid w:val="00297F53"/>
    <w:rsid w:val="002A16E8"/>
    <w:rsid w:val="002A2393"/>
    <w:rsid w:val="002A3DC1"/>
    <w:rsid w:val="002A3FF1"/>
    <w:rsid w:val="002A41EB"/>
    <w:rsid w:val="002A646E"/>
    <w:rsid w:val="002A6BDD"/>
    <w:rsid w:val="002B03E9"/>
    <w:rsid w:val="002B12EA"/>
    <w:rsid w:val="002B2249"/>
    <w:rsid w:val="002B6743"/>
    <w:rsid w:val="002B6EF7"/>
    <w:rsid w:val="002C076A"/>
    <w:rsid w:val="002C4636"/>
    <w:rsid w:val="002D13AA"/>
    <w:rsid w:val="002D1FE1"/>
    <w:rsid w:val="002D4409"/>
    <w:rsid w:val="002E05A3"/>
    <w:rsid w:val="002E13CC"/>
    <w:rsid w:val="002E2C31"/>
    <w:rsid w:val="002F6F18"/>
    <w:rsid w:val="00302F6F"/>
    <w:rsid w:val="00304254"/>
    <w:rsid w:val="003068FC"/>
    <w:rsid w:val="00307223"/>
    <w:rsid w:val="00323BCE"/>
    <w:rsid w:val="00324D24"/>
    <w:rsid w:val="003318B6"/>
    <w:rsid w:val="00332630"/>
    <w:rsid w:val="00341512"/>
    <w:rsid w:val="00342410"/>
    <w:rsid w:val="003436AC"/>
    <w:rsid w:val="003442A6"/>
    <w:rsid w:val="003576C5"/>
    <w:rsid w:val="00361E76"/>
    <w:rsid w:val="00362751"/>
    <w:rsid w:val="00364E07"/>
    <w:rsid w:val="00371A27"/>
    <w:rsid w:val="00373F49"/>
    <w:rsid w:val="00376930"/>
    <w:rsid w:val="00377E47"/>
    <w:rsid w:val="00391244"/>
    <w:rsid w:val="003913BE"/>
    <w:rsid w:val="0039183F"/>
    <w:rsid w:val="00392580"/>
    <w:rsid w:val="00392A1C"/>
    <w:rsid w:val="0039353E"/>
    <w:rsid w:val="00394B85"/>
    <w:rsid w:val="003A69F6"/>
    <w:rsid w:val="003B1033"/>
    <w:rsid w:val="003B490A"/>
    <w:rsid w:val="003B4A2D"/>
    <w:rsid w:val="003B6D37"/>
    <w:rsid w:val="003B757C"/>
    <w:rsid w:val="003C133F"/>
    <w:rsid w:val="003C3D7D"/>
    <w:rsid w:val="003C5A23"/>
    <w:rsid w:val="003D7BCC"/>
    <w:rsid w:val="003E4726"/>
    <w:rsid w:val="003F31C0"/>
    <w:rsid w:val="003F3A1C"/>
    <w:rsid w:val="0040096C"/>
    <w:rsid w:val="00402814"/>
    <w:rsid w:val="0040443E"/>
    <w:rsid w:val="0040510B"/>
    <w:rsid w:val="00405D9B"/>
    <w:rsid w:val="00406ADE"/>
    <w:rsid w:val="004117F3"/>
    <w:rsid w:val="00413727"/>
    <w:rsid w:val="00417373"/>
    <w:rsid w:val="0041752F"/>
    <w:rsid w:val="004261B3"/>
    <w:rsid w:val="004263DF"/>
    <w:rsid w:val="00426602"/>
    <w:rsid w:val="00432090"/>
    <w:rsid w:val="00432A6B"/>
    <w:rsid w:val="0044054E"/>
    <w:rsid w:val="004406C6"/>
    <w:rsid w:val="0044511D"/>
    <w:rsid w:val="00454ABE"/>
    <w:rsid w:val="00454C97"/>
    <w:rsid w:val="0045526B"/>
    <w:rsid w:val="00457137"/>
    <w:rsid w:val="00461599"/>
    <w:rsid w:val="00461AE4"/>
    <w:rsid w:val="00461CF4"/>
    <w:rsid w:val="00467833"/>
    <w:rsid w:val="00470B6C"/>
    <w:rsid w:val="00472F94"/>
    <w:rsid w:val="004816C1"/>
    <w:rsid w:val="00481712"/>
    <w:rsid w:val="00484F0B"/>
    <w:rsid w:val="00493929"/>
    <w:rsid w:val="004941F6"/>
    <w:rsid w:val="00494616"/>
    <w:rsid w:val="0049605D"/>
    <w:rsid w:val="004A2A68"/>
    <w:rsid w:val="004A425D"/>
    <w:rsid w:val="004A658E"/>
    <w:rsid w:val="004A7D90"/>
    <w:rsid w:val="004B6788"/>
    <w:rsid w:val="004B70F3"/>
    <w:rsid w:val="004C0F3B"/>
    <w:rsid w:val="004C1D50"/>
    <w:rsid w:val="004C1DA7"/>
    <w:rsid w:val="004C3169"/>
    <w:rsid w:val="004C32E8"/>
    <w:rsid w:val="004C3907"/>
    <w:rsid w:val="004C64C1"/>
    <w:rsid w:val="004D5E55"/>
    <w:rsid w:val="004D7FF3"/>
    <w:rsid w:val="004E65DD"/>
    <w:rsid w:val="004E6E20"/>
    <w:rsid w:val="004F06B5"/>
    <w:rsid w:val="004F264C"/>
    <w:rsid w:val="004F46EE"/>
    <w:rsid w:val="004F5B9A"/>
    <w:rsid w:val="004F5FCB"/>
    <w:rsid w:val="00505FAE"/>
    <w:rsid w:val="00506FC7"/>
    <w:rsid w:val="005149D4"/>
    <w:rsid w:val="00516C89"/>
    <w:rsid w:val="0052032F"/>
    <w:rsid w:val="005238D0"/>
    <w:rsid w:val="00532F85"/>
    <w:rsid w:val="00544175"/>
    <w:rsid w:val="00551393"/>
    <w:rsid w:val="005540A8"/>
    <w:rsid w:val="0055590D"/>
    <w:rsid w:val="00556E6F"/>
    <w:rsid w:val="005573CD"/>
    <w:rsid w:val="005605CD"/>
    <w:rsid w:val="00560782"/>
    <w:rsid w:val="00561B63"/>
    <w:rsid w:val="0058159A"/>
    <w:rsid w:val="00584004"/>
    <w:rsid w:val="00584AC0"/>
    <w:rsid w:val="005908B5"/>
    <w:rsid w:val="00590CB2"/>
    <w:rsid w:val="00594F26"/>
    <w:rsid w:val="005A72FF"/>
    <w:rsid w:val="005A7CFA"/>
    <w:rsid w:val="005B367D"/>
    <w:rsid w:val="005B666E"/>
    <w:rsid w:val="005B6F6C"/>
    <w:rsid w:val="005C5D65"/>
    <w:rsid w:val="005D171B"/>
    <w:rsid w:val="005D1D0E"/>
    <w:rsid w:val="005D37F7"/>
    <w:rsid w:val="005D521D"/>
    <w:rsid w:val="005D555C"/>
    <w:rsid w:val="005E0BBD"/>
    <w:rsid w:val="005E2788"/>
    <w:rsid w:val="005E4D9B"/>
    <w:rsid w:val="005E62DA"/>
    <w:rsid w:val="005E7D2A"/>
    <w:rsid w:val="005E7E92"/>
    <w:rsid w:val="005F02E6"/>
    <w:rsid w:val="005F11DA"/>
    <w:rsid w:val="005F5BEB"/>
    <w:rsid w:val="006008F4"/>
    <w:rsid w:val="00604558"/>
    <w:rsid w:val="00610B1D"/>
    <w:rsid w:val="006118F5"/>
    <w:rsid w:val="00630E76"/>
    <w:rsid w:val="00641AE7"/>
    <w:rsid w:val="00645BC5"/>
    <w:rsid w:val="0064791C"/>
    <w:rsid w:val="006504CA"/>
    <w:rsid w:val="00654521"/>
    <w:rsid w:val="00656EAB"/>
    <w:rsid w:val="006570D3"/>
    <w:rsid w:val="00660181"/>
    <w:rsid w:val="0066083E"/>
    <w:rsid w:val="006650A4"/>
    <w:rsid w:val="00667332"/>
    <w:rsid w:val="00674127"/>
    <w:rsid w:val="00677960"/>
    <w:rsid w:val="00685AE5"/>
    <w:rsid w:val="006918EF"/>
    <w:rsid w:val="006944AD"/>
    <w:rsid w:val="006952BB"/>
    <w:rsid w:val="00696D06"/>
    <w:rsid w:val="00696EB5"/>
    <w:rsid w:val="006A0775"/>
    <w:rsid w:val="006A14AC"/>
    <w:rsid w:val="006A2889"/>
    <w:rsid w:val="006A449E"/>
    <w:rsid w:val="006A687F"/>
    <w:rsid w:val="006A763A"/>
    <w:rsid w:val="006B61FA"/>
    <w:rsid w:val="006B7855"/>
    <w:rsid w:val="006C2D2C"/>
    <w:rsid w:val="006C7AD7"/>
    <w:rsid w:val="006D1513"/>
    <w:rsid w:val="006D1888"/>
    <w:rsid w:val="006D2BD7"/>
    <w:rsid w:val="006D34C9"/>
    <w:rsid w:val="006D3A4A"/>
    <w:rsid w:val="006E56E2"/>
    <w:rsid w:val="006E6C5B"/>
    <w:rsid w:val="006F3833"/>
    <w:rsid w:val="00701960"/>
    <w:rsid w:val="00703657"/>
    <w:rsid w:val="007072C1"/>
    <w:rsid w:val="00707922"/>
    <w:rsid w:val="0071028F"/>
    <w:rsid w:val="00715007"/>
    <w:rsid w:val="007153E9"/>
    <w:rsid w:val="00716BDD"/>
    <w:rsid w:val="00717B87"/>
    <w:rsid w:val="007236B5"/>
    <w:rsid w:val="007256AE"/>
    <w:rsid w:val="007319E4"/>
    <w:rsid w:val="00732A12"/>
    <w:rsid w:val="007330B7"/>
    <w:rsid w:val="007405CD"/>
    <w:rsid w:val="00750608"/>
    <w:rsid w:val="007541DF"/>
    <w:rsid w:val="00755AF0"/>
    <w:rsid w:val="00755CAE"/>
    <w:rsid w:val="007616AC"/>
    <w:rsid w:val="00765EE9"/>
    <w:rsid w:val="00766E45"/>
    <w:rsid w:val="007704B5"/>
    <w:rsid w:val="00774F94"/>
    <w:rsid w:val="007824C1"/>
    <w:rsid w:val="00784172"/>
    <w:rsid w:val="00787DF8"/>
    <w:rsid w:val="00792965"/>
    <w:rsid w:val="00795C4E"/>
    <w:rsid w:val="007A0753"/>
    <w:rsid w:val="007A1C4B"/>
    <w:rsid w:val="007A2918"/>
    <w:rsid w:val="007A694F"/>
    <w:rsid w:val="007A769F"/>
    <w:rsid w:val="007B0709"/>
    <w:rsid w:val="007B5B10"/>
    <w:rsid w:val="007C1DBE"/>
    <w:rsid w:val="007D0A09"/>
    <w:rsid w:val="007D1E78"/>
    <w:rsid w:val="007D6120"/>
    <w:rsid w:val="007E05E5"/>
    <w:rsid w:val="007E0E89"/>
    <w:rsid w:val="007E7F29"/>
    <w:rsid w:val="007F6536"/>
    <w:rsid w:val="00804877"/>
    <w:rsid w:val="008050E6"/>
    <w:rsid w:val="0080769E"/>
    <w:rsid w:val="00810361"/>
    <w:rsid w:val="0081170E"/>
    <w:rsid w:val="00815B58"/>
    <w:rsid w:val="00827F78"/>
    <w:rsid w:val="008303F6"/>
    <w:rsid w:val="008322E7"/>
    <w:rsid w:val="00836C6E"/>
    <w:rsid w:val="008374D5"/>
    <w:rsid w:val="00842452"/>
    <w:rsid w:val="00845F79"/>
    <w:rsid w:val="00850413"/>
    <w:rsid w:val="00851467"/>
    <w:rsid w:val="00851C46"/>
    <w:rsid w:val="00856293"/>
    <w:rsid w:val="00860578"/>
    <w:rsid w:val="00866ADE"/>
    <w:rsid w:val="00872CBB"/>
    <w:rsid w:val="00872E41"/>
    <w:rsid w:val="00883B8B"/>
    <w:rsid w:val="0088405D"/>
    <w:rsid w:val="008859CA"/>
    <w:rsid w:val="00891E91"/>
    <w:rsid w:val="00892020"/>
    <w:rsid w:val="0089770A"/>
    <w:rsid w:val="008A4A47"/>
    <w:rsid w:val="008B076A"/>
    <w:rsid w:val="008B3ACA"/>
    <w:rsid w:val="008C1AE0"/>
    <w:rsid w:val="008C20B9"/>
    <w:rsid w:val="008C2F7F"/>
    <w:rsid w:val="008C38F6"/>
    <w:rsid w:val="008C3A45"/>
    <w:rsid w:val="008C5FC3"/>
    <w:rsid w:val="008C6BFF"/>
    <w:rsid w:val="008C7967"/>
    <w:rsid w:val="008D1A60"/>
    <w:rsid w:val="008D31CB"/>
    <w:rsid w:val="008D5509"/>
    <w:rsid w:val="008E26DF"/>
    <w:rsid w:val="008E3D44"/>
    <w:rsid w:val="008F5C79"/>
    <w:rsid w:val="009069EF"/>
    <w:rsid w:val="0092318F"/>
    <w:rsid w:val="00923B89"/>
    <w:rsid w:val="00926115"/>
    <w:rsid w:val="00932354"/>
    <w:rsid w:val="009327F8"/>
    <w:rsid w:val="009451AD"/>
    <w:rsid w:val="009500A7"/>
    <w:rsid w:val="009504DE"/>
    <w:rsid w:val="0095077C"/>
    <w:rsid w:val="00956988"/>
    <w:rsid w:val="00960427"/>
    <w:rsid w:val="0096343C"/>
    <w:rsid w:val="00970023"/>
    <w:rsid w:val="009703C0"/>
    <w:rsid w:val="00986839"/>
    <w:rsid w:val="009938CA"/>
    <w:rsid w:val="009944F9"/>
    <w:rsid w:val="00995D7A"/>
    <w:rsid w:val="00996359"/>
    <w:rsid w:val="00996496"/>
    <w:rsid w:val="0099663B"/>
    <w:rsid w:val="00997251"/>
    <w:rsid w:val="009B3A4F"/>
    <w:rsid w:val="009B7A50"/>
    <w:rsid w:val="009C01CC"/>
    <w:rsid w:val="009D5FEA"/>
    <w:rsid w:val="009E145D"/>
    <w:rsid w:val="009E7C10"/>
    <w:rsid w:val="009F155F"/>
    <w:rsid w:val="009F5A93"/>
    <w:rsid w:val="00A052B0"/>
    <w:rsid w:val="00A0680E"/>
    <w:rsid w:val="00A111A8"/>
    <w:rsid w:val="00A14AE9"/>
    <w:rsid w:val="00A2055F"/>
    <w:rsid w:val="00A20571"/>
    <w:rsid w:val="00A21210"/>
    <w:rsid w:val="00A246EB"/>
    <w:rsid w:val="00A27185"/>
    <w:rsid w:val="00A31394"/>
    <w:rsid w:val="00A32FED"/>
    <w:rsid w:val="00A33201"/>
    <w:rsid w:val="00A336DB"/>
    <w:rsid w:val="00A45C51"/>
    <w:rsid w:val="00A4750A"/>
    <w:rsid w:val="00A47937"/>
    <w:rsid w:val="00A50810"/>
    <w:rsid w:val="00A52465"/>
    <w:rsid w:val="00A5334E"/>
    <w:rsid w:val="00A552E8"/>
    <w:rsid w:val="00A55A5A"/>
    <w:rsid w:val="00A64AB2"/>
    <w:rsid w:val="00A65133"/>
    <w:rsid w:val="00A65C80"/>
    <w:rsid w:val="00A700B5"/>
    <w:rsid w:val="00A7090D"/>
    <w:rsid w:val="00A724E5"/>
    <w:rsid w:val="00A74212"/>
    <w:rsid w:val="00A744BD"/>
    <w:rsid w:val="00A8478B"/>
    <w:rsid w:val="00A91751"/>
    <w:rsid w:val="00A926DA"/>
    <w:rsid w:val="00A9675D"/>
    <w:rsid w:val="00AB1B0B"/>
    <w:rsid w:val="00AB30A5"/>
    <w:rsid w:val="00AB3695"/>
    <w:rsid w:val="00AB3DA0"/>
    <w:rsid w:val="00AB565A"/>
    <w:rsid w:val="00AC0B07"/>
    <w:rsid w:val="00AC2197"/>
    <w:rsid w:val="00AC6F0E"/>
    <w:rsid w:val="00AD7043"/>
    <w:rsid w:val="00AE0603"/>
    <w:rsid w:val="00AE0E06"/>
    <w:rsid w:val="00AE1253"/>
    <w:rsid w:val="00AE1575"/>
    <w:rsid w:val="00AE775D"/>
    <w:rsid w:val="00AF4F5F"/>
    <w:rsid w:val="00AF662F"/>
    <w:rsid w:val="00B059E8"/>
    <w:rsid w:val="00B05F09"/>
    <w:rsid w:val="00B10B4D"/>
    <w:rsid w:val="00B12089"/>
    <w:rsid w:val="00B20DDC"/>
    <w:rsid w:val="00B23536"/>
    <w:rsid w:val="00B24036"/>
    <w:rsid w:val="00B272AF"/>
    <w:rsid w:val="00B27949"/>
    <w:rsid w:val="00B30E0F"/>
    <w:rsid w:val="00B30F6B"/>
    <w:rsid w:val="00B422D3"/>
    <w:rsid w:val="00B46216"/>
    <w:rsid w:val="00B6077D"/>
    <w:rsid w:val="00B650A4"/>
    <w:rsid w:val="00B70A10"/>
    <w:rsid w:val="00B726D3"/>
    <w:rsid w:val="00B72D4D"/>
    <w:rsid w:val="00B75A24"/>
    <w:rsid w:val="00B878D5"/>
    <w:rsid w:val="00B93259"/>
    <w:rsid w:val="00B942FF"/>
    <w:rsid w:val="00B953DA"/>
    <w:rsid w:val="00B97457"/>
    <w:rsid w:val="00BA2985"/>
    <w:rsid w:val="00BA4C87"/>
    <w:rsid w:val="00BB2435"/>
    <w:rsid w:val="00BB2591"/>
    <w:rsid w:val="00BC617B"/>
    <w:rsid w:val="00BD097B"/>
    <w:rsid w:val="00BD107A"/>
    <w:rsid w:val="00BD1AFC"/>
    <w:rsid w:val="00BD4CBC"/>
    <w:rsid w:val="00BE4B3B"/>
    <w:rsid w:val="00BE764C"/>
    <w:rsid w:val="00BF55E9"/>
    <w:rsid w:val="00BF5974"/>
    <w:rsid w:val="00C105BB"/>
    <w:rsid w:val="00C120F1"/>
    <w:rsid w:val="00C13120"/>
    <w:rsid w:val="00C210E6"/>
    <w:rsid w:val="00C235E1"/>
    <w:rsid w:val="00C31C44"/>
    <w:rsid w:val="00C31EF9"/>
    <w:rsid w:val="00C43499"/>
    <w:rsid w:val="00C43931"/>
    <w:rsid w:val="00C4400F"/>
    <w:rsid w:val="00C60C41"/>
    <w:rsid w:val="00C61746"/>
    <w:rsid w:val="00C62A51"/>
    <w:rsid w:val="00C64F0B"/>
    <w:rsid w:val="00C73DBE"/>
    <w:rsid w:val="00C80267"/>
    <w:rsid w:val="00C80F37"/>
    <w:rsid w:val="00C81B28"/>
    <w:rsid w:val="00C848F2"/>
    <w:rsid w:val="00C86F78"/>
    <w:rsid w:val="00C8778A"/>
    <w:rsid w:val="00C904CC"/>
    <w:rsid w:val="00C90B74"/>
    <w:rsid w:val="00C97E05"/>
    <w:rsid w:val="00CA2260"/>
    <w:rsid w:val="00CA3451"/>
    <w:rsid w:val="00CA4878"/>
    <w:rsid w:val="00CA4EA0"/>
    <w:rsid w:val="00CA6229"/>
    <w:rsid w:val="00CA7155"/>
    <w:rsid w:val="00CB478A"/>
    <w:rsid w:val="00CC0164"/>
    <w:rsid w:val="00CC2F61"/>
    <w:rsid w:val="00CC4CDB"/>
    <w:rsid w:val="00CD706E"/>
    <w:rsid w:val="00CE43F7"/>
    <w:rsid w:val="00CE4677"/>
    <w:rsid w:val="00CF6529"/>
    <w:rsid w:val="00D02A6D"/>
    <w:rsid w:val="00D16EC4"/>
    <w:rsid w:val="00D23E4D"/>
    <w:rsid w:val="00D3554B"/>
    <w:rsid w:val="00D424C5"/>
    <w:rsid w:val="00D4780F"/>
    <w:rsid w:val="00D5269F"/>
    <w:rsid w:val="00D670A0"/>
    <w:rsid w:val="00D716A8"/>
    <w:rsid w:val="00D732AE"/>
    <w:rsid w:val="00D74BA5"/>
    <w:rsid w:val="00D75A22"/>
    <w:rsid w:val="00D808C8"/>
    <w:rsid w:val="00D83F1F"/>
    <w:rsid w:val="00D849ED"/>
    <w:rsid w:val="00D90170"/>
    <w:rsid w:val="00D90BE3"/>
    <w:rsid w:val="00D9297F"/>
    <w:rsid w:val="00D968E1"/>
    <w:rsid w:val="00DA5454"/>
    <w:rsid w:val="00DA58A2"/>
    <w:rsid w:val="00DB12D7"/>
    <w:rsid w:val="00DB2E56"/>
    <w:rsid w:val="00DC167B"/>
    <w:rsid w:val="00DC301E"/>
    <w:rsid w:val="00DC3144"/>
    <w:rsid w:val="00DD4F75"/>
    <w:rsid w:val="00DE264D"/>
    <w:rsid w:val="00DE60E6"/>
    <w:rsid w:val="00DE6A42"/>
    <w:rsid w:val="00DF3175"/>
    <w:rsid w:val="00E00573"/>
    <w:rsid w:val="00E03FC3"/>
    <w:rsid w:val="00E0446A"/>
    <w:rsid w:val="00E0495F"/>
    <w:rsid w:val="00E05FA9"/>
    <w:rsid w:val="00E12228"/>
    <w:rsid w:val="00E23690"/>
    <w:rsid w:val="00E23F2E"/>
    <w:rsid w:val="00E2790D"/>
    <w:rsid w:val="00E27BE0"/>
    <w:rsid w:val="00E27F56"/>
    <w:rsid w:val="00E32015"/>
    <w:rsid w:val="00E44F26"/>
    <w:rsid w:val="00E4587F"/>
    <w:rsid w:val="00E45C54"/>
    <w:rsid w:val="00E51653"/>
    <w:rsid w:val="00E51C3F"/>
    <w:rsid w:val="00E52344"/>
    <w:rsid w:val="00E60D4D"/>
    <w:rsid w:val="00E70036"/>
    <w:rsid w:val="00E713AD"/>
    <w:rsid w:val="00E719E9"/>
    <w:rsid w:val="00E80252"/>
    <w:rsid w:val="00E829AB"/>
    <w:rsid w:val="00E831A5"/>
    <w:rsid w:val="00E8556B"/>
    <w:rsid w:val="00E90BB2"/>
    <w:rsid w:val="00E94899"/>
    <w:rsid w:val="00E9580F"/>
    <w:rsid w:val="00EA046B"/>
    <w:rsid w:val="00EA3AA8"/>
    <w:rsid w:val="00EA637B"/>
    <w:rsid w:val="00EA6B90"/>
    <w:rsid w:val="00EB63D1"/>
    <w:rsid w:val="00EB6FD4"/>
    <w:rsid w:val="00EB7B65"/>
    <w:rsid w:val="00EC6239"/>
    <w:rsid w:val="00ED42EB"/>
    <w:rsid w:val="00ED545D"/>
    <w:rsid w:val="00ED7AA4"/>
    <w:rsid w:val="00EE2C67"/>
    <w:rsid w:val="00EE7397"/>
    <w:rsid w:val="00EE79BB"/>
    <w:rsid w:val="00EF0817"/>
    <w:rsid w:val="00EF5E52"/>
    <w:rsid w:val="00EF64EE"/>
    <w:rsid w:val="00F038EB"/>
    <w:rsid w:val="00F060C1"/>
    <w:rsid w:val="00F06275"/>
    <w:rsid w:val="00F15EAE"/>
    <w:rsid w:val="00F16A8C"/>
    <w:rsid w:val="00F201EC"/>
    <w:rsid w:val="00F2484C"/>
    <w:rsid w:val="00F24F52"/>
    <w:rsid w:val="00F267AE"/>
    <w:rsid w:val="00F327D1"/>
    <w:rsid w:val="00F36652"/>
    <w:rsid w:val="00F42F59"/>
    <w:rsid w:val="00F43C0D"/>
    <w:rsid w:val="00F4674B"/>
    <w:rsid w:val="00F470D9"/>
    <w:rsid w:val="00F50E25"/>
    <w:rsid w:val="00F53137"/>
    <w:rsid w:val="00F60316"/>
    <w:rsid w:val="00F664A5"/>
    <w:rsid w:val="00F677ED"/>
    <w:rsid w:val="00F71233"/>
    <w:rsid w:val="00F71A14"/>
    <w:rsid w:val="00F7413B"/>
    <w:rsid w:val="00F76AE6"/>
    <w:rsid w:val="00F97532"/>
    <w:rsid w:val="00FA47B8"/>
    <w:rsid w:val="00FA50DF"/>
    <w:rsid w:val="00FA5D8F"/>
    <w:rsid w:val="00FA7DD8"/>
    <w:rsid w:val="00FB17E4"/>
    <w:rsid w:val="00FB3038"/>
    <w:rsid w:val="00FB511F"/>
    <w:rsid w:val="00FC2890"/>
    <w:rsid w:val="00FC3788"/>
    <w:rsid w:val="00FC4DBC"/>
    <w:rsid w:val="00FC6A12"/>
    <w:rsid w:val="00FD27E3"/>
    <w:rsid w:val="00FD3999"/>
    <w:rsid w:val="00FD554B"/>
    <w:rsid w:val="00FE172F"/>
    <w:rsid w:val="00FF5EB7"/>
    <w:rsid w:val="00FF7AB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DAAB26"/>
  <w15:chartTrackingRefBased/>
  <w15:docId w15:val="{460CCBD8-B836-2840-A519-9823F4CD41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1116"/>
    <w:pPr>
      <w:spacing w:after="0" w:line="240" w:lineRule="auto"/>
    </w:pPr>
    <w:rPr>
      <w:rFonts w:ascii="Calibri" w:hAnsi="Calibri" w:cs="Calibri"/>
    </w:rPr>
  </w:style>
  <w:style w:type="paragraph" w:styleId="Heading1">
    <w:name w:val="heading 1"/>
    <w:basedOn w:val="Normal"/>
    <w:next w:val="Normal"/>
    <w:link w:val="Heading1Char"/>
    <w:uiPriority w:val="9"/>
    <w:qFormat/>
    <w:rsid w:val="000E2B49"/>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qFormat/>
    <w:rsid w:val="00AF662F"/>
    <w:pPr>
      <w:spacing w:before="100" w:beforeAutospacing="1" w:after="100" w:afterAutospacing="1"/>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AF662F"/>
    <w:pPr>
      <w:spacing w:before="100" w:beforeAutospacing="1" w:after="100" w:afterAutospacing="1"/>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AF662F"/>
    <w:pPr>
      <w:spacing w:before="100" w:beforeAutospacing="1" w:after="100" w:afterAutospacing="1"/>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31116"/>
    <w:rPr>
      <w:color w:val="0000FF"/>
      <w:u w:val="single"/>
    </w:rPr>
  </w:style>
  <w:style w:type="paragraph" w:styleId="NormalWeb">
    <w:name w:val="Normal (Web)"/>
    <w:basedOn w:val="Normal"/>
    <w:uiPriority w:val="99"/>
    <w:unhideWhenUsed/>
    <w:rsid w:val="00E27BE0"/>
    <w:pPr>
      <w:spacing w:before="100" w:beforeAutospacing="1" w:after="100" w:afterAutospacing="1"/>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4A2A68"/>
    <w:rPr>
      <w:color w:val="605E5C"/>
      <w:shd w:val="clear" w:color="auto" w:fill="E1DFDD"/>
    </w:rPr>
  </w:style>
  <w:style w:type="character" w:styleId="Emphasis">
    <w:name w:val="Emphasis"/>
    <w:basedOn w:val="DefaultParagraphFont"/>
    <w:uiPriority w:val="20"/>
    <w:qFormat/>
    <w:rsid w:val="00A91751"/>
    <w:rPr>
      <w:i/>
      <w:iCs/>
    </w:rPr>
  </w:style>
  <w:style w:type="character" w:customStyle="1" w:styleId="Heading2Char">
    <w:name w:val="Heading 2 Char"/>
    <w:basedOn w:val="DefaultParagraphFont"/>
    <w:link w:val="Heading2"/>
    <w:uiPriority w:val="9"/>
    <w:rsid w:val="00AF662F"/>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AF662F"/>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AF662F"/>
    <w:rPr>
      <w:rFonts w:ascii="Times New Roman" w:eastAsia="Times New Roman" w:hAnsi="Times New Roman" w:cs="Times New Roman"/>
      <w:b/>
      <w:bCs/>
      <w:sz w:val="24"/>
      <w:szCs w:val="24"/>
    </w:rPr>
  </w:style>
  <w:style w:type="character" w:customStyle="1" w:styleId="sidebar-regionlabel">
    <w:name w:val="sidebar-region__label"/>
    <w:basedOn w:val="DefaultParagraphFont"/>
    <w:rsid w:val="00AF662F"/>
  </w:style>
  <w:style w:type="character" w:customStyle="1" w:styleId="do-cited-title">
    <w:name w:val="do-cited-title"/>
    <w:basedOn w:val="DefaultParagraphFont"/>
    <w:rsid w:val="00AF662F"/>
  </w:style>
  <w:style w:type="character" w:customStyle="1" w:styleId="do-cited-date">
    <w:name w:val="do-cited-date"/>
    <w:basedOn w:val="DefaultParagraphFont"/>
    <w:rsid w:val="00AF662F"/>
  </w:style>
  <w:style w:type="paragraph" w:customStyle="1" w:styleId="do-cited-doi">
    <w:name w:val="do-cited-doi"/>
    <w:basedOn w:val="Normal"/>
    <w:rsid w:val="00AF662F"/>
    <w:pPr>
      <w:spacing w:before="100" w:beforeAutospacing="1" w:after="100" w:afterAutospacing="1"/>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8D1A60"/>
    <w:rPr>
      <w:color w:val="954F72" w:themeColor="followedHyperlink"/>
      <w:u w:val="single"/>
    </w:rPr>
  </w:style>
  <w:style w:type="character" w:customStyle="1" w:styleId="Heading1Char">
    <w:name w:val="Heading 1 Char"/>
    <w:basedOn w:val="DefaultParagraphFont"/>
    <w:link w:val="Heading1"/>
    <w:uiPriority w:val="9"/>
    <w:rsid w:val="000E2B49"/>
    <w:rPr>
      <w:rFonts w:asciiTheme="majorHAnsi" w:eastAsiaTheme="majorEastAsia" w:hAnsiTheme="majorHAnsi" w:cstheme="majorBidi"/>
      <w:color w:val="2F5496" w:themeColor="accent1" w:themeShade="BF"/>
      <w:sz w:val="32"/>
      <w:szCs w:val="32"/>
    </w:rPr>
  </w:style>
  <w:style w:type="character" w:styleId="Strong">
    <w:name w:val="Strong"/>
    <w:basedOn w:val="DefaultParagraphFont"/>
    <w:uiPriority w:val="22"/>
    <w:qFormat/>
    <w:rsid w:val="000E2B49"/>
    <w:rPr>
      <w:b/>
      <w:bCs/>
    </w:rPr>
  </w:style>
  <w:style w:type="character" w:customStyle="1" w:styleId="textrun">
    <w:name w:val="textrun"/>
    <w:basedOn w:val="DefaultParagraphFont"/>
    <w:rsid w:val="00C4400F"/>
  </w:style>
  <w:style w:type="character" w:customStyle="1" w:styleId="normaltextrun">
    <w:name w:val="normaltextrun"/>
    <w:basedOn w:val="DefaultParagraphFont"/>
    <w:rsid w:val="00C4400F"/>
  </w:style>
  <w:style w:type="character" w:customStyle="1" w:styleId="eop">
    <w:name w:val="eop"/>
    <w:basedOn w:val="DefaultParagraphFont"/>
    <w:rsid w:val="00C4400F"/>
  </w:style>
  <w:style w:type="character" w:customStyle="1" w:styleId="mobilewrap">
    <w:name w:val="mobile_wrap"/>
    <w:basedOn w:val="DefaultParagraphFont"/>
    <w:rsid w:val="004261B3"/>
  </w:style>
  <w:style w:type="character" w:customStyle="1" w:styleId="in-widget">
    <w:name w:val="in-widget"/>
    <w:basedOn w:val="DefaultParagraphFont"/>
    <w:rsid w:val="00163C28"/>
  </w:style>
  <w:style w:type="character" w:customStyle="1" w:styleId="show-for-sr">
    <w:name w:val="show-for-sr"/>
    <w:basedOn w:val="DefaultParagraphFont"/>
    <w:rsid w:val="00163C28"/>
  </w:style>
  <w:style w:type="character" w:customStyle="1" w:styleId="appended-pdf-link">
    <w:name w:val="appended-pdf-link"/>
    <w:basedOn w:val="DefaultParagraphFont"/>
    <w:rsid w:val="0088405D"/>
  </w:style>
  <w:style w:type="paragraph" w:customStyle="1" w:styleId="footnote">
    <w:name w:val="footnote"/>
    <w:basedOn w:val="Normal"/>
    <w:rsid w:val="0088405D"/>
    <w:pPr>
      <w:spacing w:before="100" w:beforeAutospacing="1" w:after="100" w:afterAutospacing="1"/>
    </w:pPr>
    <w:rPr>
      <w:rFonts w:ascii="Times New Roman" w:eastAsia="Times New Roman" w:hAnsi="Times New Roman" w:cs="Times New Roman"/>
      <w:sz w:val="24"/>
      <w:szCs w:val="24"/>
    </w:rPr>
  </w:style>
  <w:style w:type="paragraph" w:styleId="ListParagraph">
    <w:name w:val="List Paragraph"/>
    <w:basedOn w:val="Normal"/>
    <w:uiPriority w:val="34"/>
    <w:qFormat/>
    <w:rsid w:val="007405CD"/>
    <w:pPr>
      <w:ind w:left="720"/>
    </w:pPr>
  </w:style>
  <w:style w:type="paragraph" w:styleId="NoSpacing">
    <w:name w:val="No Spacing"/>
    <w:uiPriority w:val="1"/>
    <w:qFormat/>
    <w:rsid w:val="006A0775"/>
    <w:pPr>
      <w:spacing w:after="0" w:line="240" w:lineRule="auto"/>
    </w:pPr>
  </w:style>
  <w:style w:type="paragraph" w:customStyle="1" w:styleId="xxmsonormal">
    <w:name w:val="x_x_msonormal"/>
    <w:basedOn w:val="Normal"/>
    <w:rsid w:val="00AE157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892534">
      <w:bodyDiv w:val="1"/>
      <w:marLeft w:val="0"/>
      <w:marRight w:val="0"/>
      <w:marTop w:val="0"/>
      <w:marBottom w:val="0"/>
      <w:divBdr>
        <w:top w:val="none" w:sz="0" w:space="0" w:color="auto"/>
        <w:left w:val="none" w:sz="0" w:space="0" w:color="auto"/>
        <w:bottom w:val="none" w:sz="0" w:space="0" w:color="auto"/>
        <w:right w:val="none" w:sz="0" w:space="0" w:color="auto"/>
      </w:divBdr>
    </w:div>
    <w:div w:id="100147926">
      <w:bodyDiv w:val="1"/>
      <w:marLeft w:val="0"/>
      <w:marRight w:val="0"/>
      <w:marTop w:val="0"/>
      <w:marBottom w:val="0"/>
      <w:divBdr>
        <w:top w:val="none" w:sz="0" w:space="0" w:color="auto"/>
        <w:left w:val="none" w:sz="0" w:space="0" w:color="auto"/>
        <w:bottom w:val="none" w:sz="0" w:space="0" w:color="auto"/>
        <w:right w:val="none" w:sz="0" w:space="0" w:color="auto"/>
      </w:divBdr>
    </w:div>
    <w:div w:id="132187756">
      <w:bodyDiv w:val="1"/>
      <w:marLeft w:val="0"/>
      <w:marRight w:val="0"/>
      <w:marTop w:val="0"/>
      <w:marBottom w:val="0"/>
      <w:divBdr>
        <w:top w:val="none" w:sz="0" w:space="0" w:color="auto"/>
        <w:left w:val="none" w:sz="0" w:space="0" w:color="auto"/>
        <w:bottom w:val="none" w:sz="0" w:space="0" w:color="auto"/>
        <w:right w:val="none" w:sz="0" w:space="0" w:color="auto"/>
      </w:divBdr>
      <w:divsChild>
        <w:div w:id="104229449">
          <w:marLeft w:val="0"/>
          <w:marRight w:val="0"/>
          <w:marTop w:val="0"/>
          <w:marBottom w:val="0"/>
          <w:divBdr>
            <w:top w:val="none" w:sz="0" w:space="0" w:color="auto"/>
            <w:left w:val="none" w:sz="0" w:space="0" w:color="auto"/>
            <w:bottom w:val="none" w:sz="0" w:space="0" w:color="auto"/>
            <w:right w:val="none" w:sz="0" w:space="0" w:color="auto"/>
          </w:divBdr>
          <w:divsChild>
            <w:div w:id="1736469925">
              <w:marLeft w:val="0"/>
              <w:marRight w:val="0"/>
              <w:marTop w:val="0"/>
              <w:marBottom w:val="0"/>
              <w:divBdr>
                <w:top w:val="none" w:sz="0" w:space="0" w:color="auto"/>
                <w:left w:val="none" w:sz="0" w:space="0" w:color="auto"/>
                <w:bottom w:val="none" w:sz="0" w:space="0" w:color="auto"/>
                <w:right w:val="none" w:sz="0" w:space="0" w:color="auto"/>
              </w:divBdr>
            </w:div>
          </w:divsChild>
        </w:div>
        <w:div w:id="413741023">
          <w:marLeft w:val="0"/>
          <w:marRight w:val="0"/>
          <w:marTop w:val="0"/>
          <w:marBottom w:val="0"/>
          <w:divBdr>
            <w:top w:val="none" w:sz="0" w:space="0" w:color="auto"/>
            <w:left w:val="none" w:sz="0" w:space="0" w:color="auto"/>
            <w:bottom w:val="none" w:sz="0" w:space="0" w:color="auto"/>
            <w:right w:val="none" w:sz="0" w:space="0" w:color="auto"/>
          </w:divBdr>
          <w:divsChild>
            <w:div w:id="223489048">
              <w:marLeft w:val="0"/>
              <w:marRight w:val="0"/>
              <w:marTop w:val="0"/>
              <w:marBottom w:val="0"/>
              <w:divBdr>
                <w:top w:val="none" w:sz="0" w:space="0" w:color="auto"/>
                <w:left w:val="none" w:sz="0" w:space="0" w:color="auto"/>
                <w:bottom w:val="none" w:sz="0" w:space="0" w:color="auto"/>
                <w:right w:val="none" w:sz="0" w:space="0" w:color="auto"/>
              </w:divBdr>
              <w:divsChild>
                <w:div w:id="1769426426">
                  <w:marLeft w:val="0"/>
                  <w:marRight w:val="0"/>
                  <w:marTop w:val="0"/>
                  <w:marBottom w:val="0"/>
                  <w:divBdr>
                    <w:top w:val="none" w:sz="0" w:space="0" w:color="auto"/>
                    <w:left w:val="none" w:sz="0" w:space="0" w:color="auto"/>
                    <w:bottom w:val="none" w:sz="0" w:space="0" w:color="auto"/>
                    <w:right w:val="none" w:sz="0" w:space="0" w:color="auto"/>
                  </w:divBdr>
                  <w:divsChild>
                    <w:div w:id="2132279762">
                      <w:marLeft w:val="0"/>
                      <w:marRight w:val="0"/>
                      <w:marTop w:val="0"/>
                      <w:marBottom w:val="0"/>
                      <w:divBdr>
                        <w:top w:val="none" w:sz="0" w:space="0" w:color="auto"/>
                        <w:left w:val="none" w:sz="0" w:space="0" w:color="auto"/>
                        <w:bottom w:val="none" w:sz="0" w:space="0" w:color="auto"/>
                        <w:right w:val="none" w:sz="0" w:space="0" w:color="auto"/>
                      </w:divBdr>
                      <w:divsChild>
                        <w:div w:id="924535890">
                          <w:marLeft w:val="0"/>
                          <w:marRight w:val="0"/>
                          <w:marTop w:val="0"/>
                          <w:marBottom w:val="0"/>
                          <w:divBdr>
                            <w:top w:val="none" w:sz="0" w:space="0" w:color="auto"/>
                            <w:left w:val="none" w:sz="0" w:space="0" w:color="auto"/>
                            <w:bottom w:val="none" w:sz="0" w:space="0" w:color="auto"/>
                            <w:right w:val="none" w:sz="0" w:space="0" w:color="auto"/>
                          </w:divBdr>
                          <w:divsChild>
                            <w:div w:id="96104621">
                              <w:marLeft w:val="0"/>
                              <w:marRight w:val="0"/>
                              <w:marTop w:val="0"/>
                              <w:marBottom w:val="0"/>
                              <w:divBdr>
                                <w:top w:val="none" w:sz="0" w:space="0" w:color="auto"/>
                                <w:left w:val="none" w:sz="0" w:space="0" w:color="auto"/>
                                <w:bottom w:val="none" w:sz="0" w:space="0" w:color="auto"/>
                                <w:right w:val="none" w:sz="0" w:space="0" w:color="auto"/>
                              </w:divBdr>
                              <w:divsChild>
                                <w:div w:id="1747023834">
                                  <w:marLeft w:val="-225"/>
                                  <w:marRight w:val="-225"/>
                                  <w:marTop w:val="0"/>
                                  <w:marBottom w:val="0"/>
                                  <w:divBdr>
                                    <w:top w:val="none" w:sz="0" w:space="0" w:color="auto"/>
                                    <w:left w:val="none" w:sz="0" w:space="0" w:color="auto"/>
                                    <w:bottom w:val="none" w:sz="0" w:space="0" w:color="auto"/>
                                    <w:right w:val="none" w:sz="0" w:space="0" w:color="auto"/>
                                  </w:divBdr>
                                  <w:divsChild>
                                    <w:div w:id="1467159993">
                                      <w:marLeft w:val="0"/>
                                      <w:marRight w:val="0"/>
                                      <w:marTop w:val="0"/>
                                      <w:marBottom w:val="0"/>
                                      <w:divBdr>
                                        <w:top w:val="none" w:sz="0" w:space="0" w:color="auto"/>
                                        <w:left w:val="none" w:sz="0" w:space="0" w:color="auto"/>
                                        <w:bottom w:val="none" w:sz="0" w:space="0" w:color="auto"/>
                                        <w:right w:val="none" w:sz="0" w:space="0" w:color="auto"/>
                                      </w:divBdr>
                                      <w:divsChild>
                                        <w:div w:id="2029522217">
                                          <w:marLeft w:val="0"/>
                                          <w:marRight w:val="0"/>
                                          <w:marTop w:val="0"/>
                                          <w:marBottom w:val="0"/>
                                          <w:divBdr>
                                            <w:top w:val="none" w:sz="0" w:space="0" w:color="auto"/>
                                            <w:left w:val="none" w:sz="0" w:space="0" w:color="auto"/>
                                            <w:bottom w:val="none" w:sz="0" w:space="0" w:color="auto"/>
                                            <w:right w:val="none" w:sz="0" w:space="0" w:color="auto"/>
                                          </w:divBdr>
                                          <w:divsChild>
                                            <w:div w:id="858734122">
                                              <w:marLeft w:val="0"/>
                                              <w:marRight w:val="0"/>
                                              <w:marTop w:val="0"/>
                                              <w:marBottom w:val="0"/>
                                              <w:divBdr>
                                                <w:top w:val="none" w:sz="0" w:space="0" w:color="auto"/>
                                                <w:left w:val="none" w:sz="0" w:space="0" w:color="auto"/>
                                                <w:bottom w:val="none" w:sz="0" w:space="0" w:color="auto"/>
                                                <w:right w:val="none" w:sz="0" w:space="0" w:color="auto"/>
                                              </w:divBdr>
                                              <w:divsChild>
                                                <w:div w:id="1668904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89627743">
      <w:bodyDiv w:val="1"/>
      <w:marLeft w:val="0"/>
      <w:marRight w:val="0"/>
      <w:marTop w:val="0"/>
      <w:marBottom w:val="0"/>
      <w:divBdr>
        <w:top w:val="none" w:sz="0" w:space="0" w:color="auto"/>
        <w:left w:val="none" w:sz="0" w:space="0" w:color="auto"/>
        <w:bottom w:val="none" w:sz="0" w:space="0" w:color="auto"/>
        <w:right w:val="none" w:sz="0" w:space="0" w:color="auto"/>
      </w:divBdr>
      <w:divsChild>
        <w:div w:id="1476798751">
          <w:marLeft w:val="0"/>
          <w:marRight w:val="0"/>
          <w:marTop w:val="0"/>
          <w:marBottom w:val="0"/>
          <w:divBdr>
            <w:top w:val="none" w:sz="0" w:space="0" w:color="auto"/>
            <w:left w:val="none" w:sz="0" w:space="0" w:color="auto"/>
            <w:bottom w:val="none" w:sz="0" w:space="0" w:color="auto"/>
            <w:right w:val="none" w:sz="0" w:space="0" w:color="auto"/>
          </w:divBdr>
          <w:divsChild>
            <w:div w:id="587226290">
              <w:marLeft w:val="0"/>
              <w:marRight w:val="0"/>
              <w:marTop w:val="0"/>
              <w:marBottom w:val="0"/>
              <w:divBdr>
                <w:top w:val="none" w:sz="0" w:space="0" w:color="auto"/>
                <w:left w:val="none" w:sz="0" w:space="0" w:color="auto"/>
                <w:bottom w:val="none" w:sz="0" w:space="0" w:color="auto"/>
                <w:right w:val="none" w:sz="0" w:space="0" w:color="auto"/>
              </w:divBdr>
              <w:divsChild>
                <w:div w:id="735325628">
                  <w:marLeft w:val="0"/>
                  <w:marRight w:val="0"/>
                  <w:marTop w:val="0"/>
                  <w:marBottom w:val="0"/>
                  <w:divBdr>
                    <w:top w:val="none" w:sz="0" w:space="0" w:color="auto"/>
                    <w:left w:val="none" w:sz="0" w:space="0" w:color="auto"/>
                    <w:bottom w:val="none" w:sz="0" w:space="0" w:color="auto"/>
                    <w:right w:val="none" w:sz="0" w:space="0" w:color="auto"/>
                  </w:divBdr>
                  <w:divsChild>
                    <w:div w:id="80613421">
                      <w:marLeft w:val="0"/>
                      <w:marRight w:val="0"/>
                      <w:marTop w:val="0"/>
                      <w:marBottom w:val="0"/>
                      <w:divBdr>
                        <w:top w:val="none" w:sz="0" w:space="0" w:color="auto"/>
                        <w:left w:val="none" w:sz="0" w:space="0" w:color="auto"/>
                        <w:bottom w:val="none" w:sz="0" w:space="0" w:color="auto"/>
                        <w:right w:val="none" w:sz="0" w:space="0" w:color="auto"/>
                      </w:divBdr>
                      <w:divsChild>
                        <w:div w:id="1682930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0444851">
      <w:bodyDiv w:val="1"/>
      <w:marLeft w:val="0"/>
      <w:marRight w:val="0"/>
      <w:marTop w:val="0"/>
      <w:marBottom w:val="0"/>
      <w:divBdr>
        <w:top w:val="none" w:sz="0" w:space="0" w:color="auto"/>
        <w:left w:val="none" w:sz="0" w:space="0" w:color="auto"/>
        <w:bottom w:val="none" w:sz="0" w:space="0" w:color="auto"/>
        <w:right w:val="none" w:sz="0" w:space="0" w:color="auto"/>
      </w:divBdr>
    </w:div>
    <w:div w:id="326595468">
      <w:bodyDiv w:val="1"/>
      <w:marLeft w:val="0"/>
      <w:marRight w:val="0"/>
      <w:marTop w:val="0"/>
      <w:marBottom w:val="0"/>
      <w:divBdr>
        <w:top w:val="none" w:sz="0" w:space="0" w:color="auto"/>
        <w:left w:val="none" w:sz="0" w:space="0" w:color="auto"/>
        <w:bottom w:val="none" w:sz="0" w:space="0" w:color="auto"/>
        <w:right w:val="none" w:sz="0" w:space="0" w:color="auto"/>
      </w:divBdr>
    </w:div>
    <w:div w:id="361705637">
      <w:bodyDiv w:val="1"/>
      <w:marLeft w:val="0"/>
      <w:marRight w:val="0"/>
      <w:marTop w:val="0"/>
      <w:marBottom w:val="0"/>
      <w:divBdr>
        <w:top w:val="none" w:sz="0" w:space="0" w:color="auto"/>
        <w:left w:val="none" w:sz="0" w:space="0" w:color="auto"/>
        <w:bottom w:val="none" w:sz="0" w:space="0" w:color="auto"/>
        <w:right w:val="none" w:sz="0" w:space="0" w:color="auto"/>
      </w:divBdr>
    </w:div>
    <w:div w:id="396978484">
      <w:bodyDiv w:val="1"/>
      <w:marLeft w:val="0"/>
      <w:marRight w:val="0"/>
      <w:marTop w:val="0"/>
      <w:marBottom w:val="0"/>
      <w:divBdr>
        <w:top w:val="none" w:sz="0" w:space="0" w:color="auto"/>
        <w:left w:val="none" w:sz="0" w:space="0" w:color="auto"/>
        <w:bottom w:val="none" w:sz="0" w:space="0" w:color="auto"/>
        <w:right w:val="none" w:sz="0" w:space="0" w:color="auto"/>
      </w:divBdr>
    </w:div>
    <w:div w:id="426846330">
      <w:bodyDiv w:val="1"/>
      <w:marLeft w:val="0"/>
      <w:marRight w:val="0"/>
      <w:marTop w:val="0"/>
      <w:marBottom w:val="0"/>
      <w:divBdr>
        <w:top w:val="none" w:sz="0" w:space="0" w:color="auto"/>
        <w:left w:val="none" w:sz="0" w:space="0" w:color="auto"/>
        <w:bottom w:val="none" w:sz="0" w:space="0" w:color="auto"/>
        <w:right w:val="none" w:sz="0" w:space="0" w:color="auto"/>
      </w:divBdr>
    </w:div>
    <w:div w:id="440879750">
      <w:bodyDiv w:val="1"/>
      <w:marLeft w:val="0"/>
      <w:marRight w:val="0"/>
      <w:marTop w:val="0"/>
      <w:marBottom w:val="0"/>
      <w:divBdr>
        <w:top w:val="none" w:sz="0" w:space="0" w:color="auto"/>
        <w:left w:val="none" w:sz="0" w:space="0" w:color="auto"/>
        <w:bottom w:val="none" w:sz="0" w:space="0" w:color="auto"/>
        <w:right w:val="none" w:sz="0" w:space="0" w:color="auto"/>
      </w:divBdr>
    </w:div>
    <w:div w:id="473764823">
      <w:bodyDiv w:val="1"/>
      <w:marLeft w:val="0"/>
      <w:marRight w:val="0"/>
      <w:marTop w:val="0"/>
      <w:marBottom w:val="0"/>
      <w:divBdr>
        <w:top w:val="none" w:sz="0" w:space="0" w:color="auto"/>
        <w:left w:val="none" w:sz="0" w:space="0" w:color="auto"/>
        <w:bottom w:val="none" w:sz="0" w:space="0" w:color="auto"/>
        <w:right w:val="none" w:sz="0" w:space="0" w:color="auto"/>
      </w:divBdr>
      <w:divsChild>
        <w:div w:id="847601131">
          <w:marLeft w:val="0"/>
          <w:marRight w:val="0"/>
          <w:marTop w:val="0"/>
          <w:marBottom w:val="0"/>
          <w:divBdr>
            <w:top w:val="none" w:sz="0" w:space="0" w:color="auto"/>
            <w:left w:val="none" w:sz="0" w:space="0" w:color="auto"/>
            <w:bottom w:val="none" w:sz="0" w:space="0" w:color="auto"/>
            <w:right w:val="none" w:sz="0" w:space="0" w:color="auto"/>
          </w:divBdr>
          <w:divsChild>
            <w:div w:id="977226949">
              <w:marLeft w:val="0"/>
              <w:marRight w:val="0"/>
              <w:marTop w:val="0"/>
              <w:marBottom w:val="0"/>
              <w:divBdr>
                <w:top w:val="none" w:sz="0" w:space="0" w:color="auto"/>
                <w:left w:val="none" w:sz="0" w:space="0" w:color="auto"/>
                <w:bottom w:val="none" w:sz="0" w:space="0" w:color="auto"/>
                <w:right w:val="none" w:sz="0" w:space="0" w:color="auto"/>
              </w:divBdr>
              <w:divsChild>
                <w:div w:id="716858653">
                  <w:marLeft w:val="0"/>
                  <w:marRight w:val="0"/>
                  <w:marTop w:val="0"/>
                  <w:marBottom w:val="0"/>
                  <w:divBdr>
                    <w:top w:val="none" w:sz="0" w:space="0" w:color="auto"/>
                    <w:left w:val="none" w:sz="0" w:space="0" w:color="auto"/>
                    <w:bottom w:val="none" w:sz="0" w:space="0" w:color="auto"/>
                    <w:right w:val="none" w:sz="0" w:space="0" w:color="auto"/>
                  </w:divBdr>
                  <w:divsChild>
                    <w:div w:id="953487385">
                      <w:marLeft w:val="0"/>
                      <w:marRight w:val="0"/>
                      <w:marTop w:val="0"/>
                      <w:marBottom w:val="0"/>
                      <w:divBdr>
                        <w:top w:val="none" w:sz="0" w:space="0" w:color="auto"/>
                        <w:left w:val="none" w:sz="0" w:space="0" w:color="auto"/>
                        <w:bottom w:val="none" w:sz="0" w:space="0" w:color="auto"/>
                        <w:right w:val="none" w:sz="0" w:space="0" w:color="auto"/>
                      </w:divBdr>
                      <w:divsChild>
                        <w:div w:id="1229456269">
                          <w:marLeft w:val="0"/>
                          <w:marRight w:val="0"/>
                          <w:marTop w:val="0"/>
                          <w:marBottom w:val="0"/>
                          <w:divBdr>
                            <w:top w:val="none" w:sz="0" w:space="0" w:color="auto"/>
                            <w:left w:val="none" w:sz="0" w:space="0" w:color="auto"/>
                            <w:bottom w:val="none" w:sz="0" w:space="0" w:color="auto"/>
                            <w:right w:val="none" w:sz="0" w:space="0" w:color="auto"/>
                          </w:divBdr>
                          <w:divsChild>
                            <w:div w:id="1112938110">
                              <w:marLeft w:val="75"/>
                              <w:marRight w:val="75"/>
                              <w:marTop w:val="75"/>
                              <w:marBottom w:val="75"/>
                              <w:divBdr>
                                <w:top w:val="none" w:sz="0" w:space="0" w:color="auto"/>
                                <w:left w:val="none" w:sz="0" w:space="0" w:color="auto"/>
                                <w:bottom w:val="none" w:sz="0" w:space="0" w:color="auto"/>
                                <w:right w:val="none" w:sz="0" w:space="0" w:color="auto"/>
                              </w:divBdr>
                              <w:divsChild>
                                <w:div w:id="1358891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41092752">
      <w:bodyDiv w:val="1"/>
      <w:marLeft w:val="0"/>
      <w:marRight w:val="0"/>
      <w:marTop w:val="0"/>
      <w:marBottom w:val="0"/>
      <w:divBdr>
        <w:top w:val="none" w:sz="0" w:space="0" w:color="auto"/>
        <w:left w:val="none" w:sz="0" w:space="0" w:color="auto"/>
        <w:bottom w:val="none" w:sz="0" w:space="0" w:color="auto"/>
        <w:right w:val="none" w:sz="0" w:space="0" w:color="auto"/>
      </w:divBdr>
    </w:div>
    <w:div w:id="613100058">
      <w:bodyDiv w:val="1"/>
      <w:marLeft w:val="0"/>
      <w:marRight w:val="0"/>
      <w:marTop w:val="0"/>
      <w:marBottom w:val="0"/>
      <w:divBdr>
        <w:top w:val="none" w:sz="0" w:space="0" w:color="auto"/>
        <w:left w:val="none" w:sz="0" w:space="0" w:color="auto"/>
        <w:bottom w:val="none" w:sz="0" w:space="0" w:color="auto"/>
        <w:right w:val="none" w:sz="0" w:space="0" w:color="auto"/>
      </w:divBdr>
    </w:div>
    <w:div w:id="636833624">
      <w:bodyDiv w:val="1"/>
      <w:marLeft w:val="0"/>
      <w:marRight w:val="0"/>
      <w:marTop w:val="0"/>
      <w:marBottom w:val="0"/>
      <w:divBdr>
        <w:top w:val="none" w:sz="0" w:space="0" w:color="auto"/>
        <w:left w:val="none" w:sz="0" w:space="0" w:color="auto"/>
        <w:bottom w:val="none" w:sz="0" w:space="0" w:color="auto"/>
        <w:right w:val="none" w:sz="0" w:space="0" w:color="auto"/>
      </w:divBdr>
    </w:div>
    <w:div w:id="720715991">
      <w:bodyDiv w:val="1"/>
      <w:marLeft w:val="0"/>
      <w:marRight w:val="0"/>
      <w:marTop w:val="0"/>
      <w:marBottom w:val="0"/>
      <w:divBdr>
        <w:top w:val="none" w:sz="0" w:space="0" w:color="auto"/>
        <w:left w:val="none" w:sz="0" w:space="0" w:color="auto"/>
        <w:bottom w:val="none" w:sz="0" w:space="0" w:color="auto"/>
        <w:right w:val="none" w:sz="0" w:space="0" w:color="auto"/>
      </w:divBdr>
    </w:div>
    <w:div w:id="780952283">
      <w:bodyDiv w:val="1"/>
      <w:marLeft w:val="0"/>
      <w:marRight w:val="0"/>
      <w:marTop w:val="0"/>
      <w:marBottom w:val="0"/>
      <w:divBdr>
        <w:top w:val="none" w:sz="0" w:space="0" w:color="auto"/>
        <w:left w:val="none" w:sz="0" w:space="0" w:color="auto"/>
        <w:bottom w:val="none" w:sz="0" w:space="0" w:color="auto"/>
        <w:right w:val="none" w:sz="0" w:space="0" w:color="auto"/>
      </w:divBdr>
    </w:div>
    <w:div w:id="888220795">
      <w:bodyDiv w:val="1"/>
      <w:marLeft w:val="0"/>
      <w:marRight w:val="0"/>
      <w:marTop w:val="0"/>
      <w:marBottom w:val="0"/>
      <w:divBdr>
        <w:top w:val="none" w:sz="0" w:space="0" w:color="auto"/>
        <w:left w:val="none" w:sz="0" w:space="0" w:color="auto"/>
        <w:bottom w:val="none" w:sz="0" w:space="0" w:color="auto"/>
        <w:right w:val="none" w:sz="0" w:space="0" w:color="auto"/>
      </w:divBdr>
    </w:div>
    <w:div w:id="899053920">
      <w:bodyDiv w:val="1"/>
      <w:marLeft w:val="0"/>
      <w:marRight w:val="0"/>
      <w:marTop w:val="0"/>
      <w:marBottom w:val="0"/>
      <w:divBdr>
        <w:top w:val="none" w:sz="0" w:space="0" w:color="auto"/>
        <w:left w:val="none" w:sz="0" w:space="0" w:color="auto"/>
        <w:bottom w:val="none" w:sz="0" w:space="0" w:color="auto"/>
        <w:right w:val="none" w:sz="0" w:space="0" w:color="auto"/>
      </w:divBdr>
      <w:divsChild>
        <w:div w:id="783496607">
          <w:marLeft w:val="0"/>
          <w:marRight w:val="0"/>
          <w:marTop w:val="0"/>
          <w:marBottom w:val="0"/>
          <w:divBdr>
            <w:top w:val="none" w:sz="0" w:space="0" w:color="auto"/>
            <w:left w:val="none" w:sz="0" w:space="0" w:color="auto"/>
            <w:bottom w:val="none" w:sz="0" w:space="0" w:color="auto"/>
            <w:right w:val="none" w:sz="0" w:space="0" w:color="auto"/>
          </w:divBdr>
          <w:divsChild>
            <w:div w:id="963465783">
              <w:marLeft w:val="0"/>
              <w:marRight w:val="0"/>
              <w:marTop w:val="0"/>
              <w:marBottom w:val="0"/>
              <w:divBdr>
                <w:top w:val="none" w:sz="0" w:space="0" w:color="auto"/>
                <w:left w:val="none" w:sz="0" w:space="0" w:color="auto"/>
                <w:bottom w:val="none" w:sz="0" w:space="0" w:color="auto"/>
                <w:right w:val="none" w:sz="0" w:space="0" w:color="auto"/>
              </w:divBdr>
              <w:divsChild>
                <w:div w:id="1721401141">
                  <w:marLeft w:val="0"/>
                  <w:marRight w:val="0"/>
                  <w:marTop w:val="0"/>
                  <w:marBottom w:val="0"/>
                  <w:divBdr>
                    <w:top w:val="none" w:sz="0" w:space="0" w:color="auto"/>
                    <w:left w:val="none" w:sz="0" w:space="0" w:color="auto"/>
                    <w:bottom w:val="none" w:sz="0" w:space="0" w:color="auto"/>
                    <w:right w:val="none" w:sz="0" w:space="0" w:color="auto"/>
                  </w:divBdr>
                  <w:divsChild>
                    <w:div w:id="1967739288">
                      <w:marLeft w:val="0"/>
                      <w:marRight w:val="0"/>
                      <w:marTop w:val="0"/>
                      <w:marBottom w:val="0"/>
                      <w:divBdr>
                        <w:top w:val="none" w:sz="0" w:space="0" w:color="auto"/>
                        <w:left w:val="none" w:sz="0" w:space="0" w:color="auto"/>
                        <w:bottom w:val="none" w:sz="0" w:space="0" w:color="auto"/>
                        <w:right w:val="none" w:sz="0" w:space="0" w:color="auto"/>
                      </w:divBdr>
                      <w:divsChild>
                        <w:div w:id="1247181375">
                          <w:marLeft w:val="0"/>
                          <w:marRight w:val="0"/>
                          <w:marTop w:val="0"/>
                          <w:marBottom w:val="0"/>
                          <w:divBdr>
                            <w:top w:val="none" w:sz="0" w:space="0" w:color="auto"/>
                            <w:left w:val="none" w:sz="0" w:space="0" w:color="auto"/>
                            <w:bottom w:val="none" w:sz="0" w:space="0" w:color="auto"/>
                            <w:right w:val="none" w:sz="0" w:space="0" w:color="auto"/>
                          </w:divBdr>
                          <w:divsChild>
                            <w:div w:id="1155605814">
                              <w:marLeft w:val="75"/>
                              <w:marRight w:val="75"/>
                              <w:marTop w:val="75"/>
                              <w:marBottom w:val="75"/>
                              <w:divBdr>
                                <w:top w:val="none" w:sz="0" w:space="0" w:color="auto"/>
                                <w:left w:val="none" w:sz="0" w:space="0" w:color="auto"/>
                                <w:bottom w:val="none" w:sz="0" w:space="0" w:color="auto"/>
                                <w:right w:val="none" w:sz="0" w:space="0" w:color="auto"/>
                              </w:divBdr>
                              <w:divsChild>
                                <w:div w:id="700908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25960335">
      <w:bodyDiv w:val="1"/>
      <w:marLeft w:val="0"/>
      <w:marRight w:val="0"/>
      <w:marTop w:val="0"/>
      <w:marBottom w:val="0"/>
      <w:divBdr>
        <w:top w:val="none" w:sz="0" w:space="0" w:color="auto"/>
        <w:left w:val="none" w:sz="0" w:space="0" w:color="auto"/>
        <w:bottom w:val="none" w:sz="0" w:space="0" w:color="auto"/>
        <w:right w:val="none" w:sz="0" w:space="0" w:color="auto"/>
      </w:divBdr>
    </w:div>
    <w:div w:id="958218371">
      <w:bodyDiv w:val="1"/>
      <w:marLeft w:val="0"/>
      <w:marRight w:val="0"/>
      <w:marTop w:val="0"/>
      <w:marBottom w:val="0"/>
      <w:divBdr>
        <w:top w:val="none" w:sz="0" w:space="0" w:color="auto"/>
        <w:left w:val="none" w:sz="0" w:space="0" w:color="auto"/>
        <w:bottom w:val="none" w:sz="0" w:space="0" w:color="auto"/>
        <w:right w:val="none" w:sz="0" w:space="0" w:color="auto"/>
      </w:divBdr>
    </w:div>
    <w:div w:id="971667110">
      <w:bodyDiv w:val="1"/>
      <w:marLeft w:val="0"/>
      <w:marRight w:val="0"/>
      <w:marTop w:val="0"/>
      <w:marBottom w:val="0"/>
      <w:divBdr>
        <w:top w:val="none" w:sz="0" w:space="0" w:color="auto"/>
        <w:left w:val="none" w:sz="0" w:space="0" w:color="auto"/>
        <w:bottom w:val="none" w:sz="0" w:space="0" w:color="auto"/>
        <w:right w:val="none" w:sz="0" w:space="0" w:color="auto"/>
      </w:divBdr>
    </w:div>
    <w:div w:id="1030374416">
      <w:bodyDiv w:val="1"/>
      <w:marLeft w:val="0"/>
      <w:marRight w:val="0"/>
      <w:marTop w:val="0"/>
      <w:marBottom w:val="0"/>
      <w:divBdr>
        <w:top w:val="none" w:sz="0" w:space="0" w:color="auto"/>
        <w:left w:val="none" w:sz="0" w:space="0" w:color="auto"/>
        <w:bottom w:val="none" w:sz="0" w:space="0" w:color="auto"/>
        <w:right w:val="none" w:sz="0" w:space="0" w:color="auto"/>
      </w:divBdr>
      <w:divsChild>
        <w:div w:id="1789467905">
          <w:marLeft w:val="-225"/>
          <w:marRight w:val="-225"/>
          <w:marTop w:val="0"/>
          <w:marBottom w:val="0"/>
          <w:divBdr>
            <w:top w:val="none" w:sz="0" w:space="0" w:color="auto"/>
            <w:left w:val="none" w:sz="0" w:space="0" w:color="auto"/>
            <w:bottom w:val="none" w:sz="0" w:space="0" w:color="auto"/>
            <w:right w:val="none" w:sz="0" w:space="0" w:color="auto"/>
          </w:divBdr>
          <w:divsChild>
            <w:div w:id="1288319843">
              <w:marLeft w:val="0"/>
              <w:marRight w:val="0"/>
              <w:marTop w:val="0"/>
              <w:marBottom w:val="0"/>
              <w:divBdr>
                <w:top w:val="none" w:sz="0" w:space="0" w:color="auto"/>
                <w:left w:val="none" w:sz="0" w:space="0" w:color="auto"/>
                <w:bottom w:val="none" w:sz="0" w:space="0" w:color="auto"/>
                <w:right w:val="none" w:sz="0" w:space="0" w:color="auto"/>
              </w:divBdr>
              <w:divsChild>
                <w:div w:id="814952183">
                  <w:marLeft w:val="0"/>
                  <w:marRight w:val="0"/>
                  <w:marTop w:val="0"/>
                  <w:marBottom w:val="750"/>
                  <w:divBdr>
                    <w:top w:val="none" w:sz="0" w:space="0" w:color="auto"/>
                    <w:left w:val="none" w:sz="0" w:space="0" w:color="auto"/>
                    <w:bottom w:val="none" w:sz="0" w:space="0" w:color="auto"/>
                    <w:right w:val="none" w:sz="0" w:space="0" w:color="auto"/>
                  </w:divBdr>
                  <w:divsChild>
                    <w:div w:id="910233054">
                      <w:marLeft w:val="-225"/>
                      <w:marRight w:val="-225"/>
                      <w:marTop w:val="0"/>
                      <w:marBottom w:val="300"/>
                      <w:divBdr>
                        <w:top w:val="none" w:sz="0" w:space="0" w:color="auto"/>
                        <w:left w:val="none" w:sz="0" w:space="0" w:color="auto"/>
                        <w:bottom w:val="single" w:sz="6" w:space="11" w:color="FFFFFF"/>
                        <w:right w:val="none" w:sz="0" w:space="0" w:color="auto"/>
                      </w:divBdr>
                      <w:divsChild>
                        <w:div w:id="1067535657">
                          <w:marLeft w:val="0"/>
                          <w:marRight w:val="0"/>
                          <w:marTop w:val="0"/>
                          <w:marBottom w:val="0"/>
                          <w:divBdr>
                            <w:top w:val="none" w:sz="0" w:space="0" w:color="auto"/>
                            <w:left w:val="none" w:sz="0" w:space="0" w:color="auto"/>
                            <w:bottom w:val="none" w:sz="0" w:space="0" w:color="auto"/>
                            <w:right w:val="none" w:sz="0" w:space="0" w:color="auto"/>
                          </w:divBdr>
                        </w:div>
                        <w:div w:id="1930389042">
                          <w:marLeft w:val="-225"/>
                          <w:marRight w:val="-225"/>
                          <w:marTop w:val="0"/>
                          <w:marBottom w:val="300"/>
                          <w:divBdr>
                            <w:top w:val="none" w:sz="0" w:space="0" w:color="auto"/>
                            <w:left w:val="none" w:sz="0" w:space="0" w:color="auto"/>
                            <w:bottom w:val="single" w:sz="6" w:space="11" w:color="FFFFFF"/>
                            <w:right w:val="none" w:sz="0" w:space="0" w:color="auto"/>
                          </w:divBdr>
                          <w:divsChild>
                            <w:div w:id="1247575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7867536">
                  <w:marLeft w:val="0"/>
                  <w:marRight w:val="0"/>
                  <w:marTop w:val="0"/>
                  <w:marBottom w:val="0"/>
                  <w:divBdr>
                    <w:top w:val="none" w:sz="0" w:space="0" w:color="auto"/>
                    <w:left w:val="none" w:sz="0" w:space="0" w:color="auto"/>
                    <w:bottom w:val="none" w:sz="0" w:space="0" w:color="auto"/>
                    <w:right w:val="none" w:sz="0" w:space="0" w:color="auto"/>
                  </w:divBdr>
                  <w:divsChild>
                    <w:div w:id="2048529641">
                      <w:marLeft w:val="0"/>
                      <w:marRight w:val="0"/>
                      <w:marTop w:val="480"/>
                      <w:marBottom w:val="480"/>
                      <w:divBdr>
                        <w:top w:val="none" w:sz="0" w:space="0" w:color="auto"/>
                        <w:left w:val="none" w:sz="0" w:space="0" w:color="auto"/>
                        <w:bottom w:val="none" w:sz="0" w:space="0" w:color="auto"/>
                        <w:right w:val="none" w:sz="0" w:space="0" w:color="auto"/>
                      </w:divBdr>
                      <w:divsChild>
                        <w:div w:id="1372807494">
                          <w:marLeft w:val="0"/>
                          <w:marRight w:val="0"/>
                          <w:marTop w:val="0"/>
                          <w:marBottom w:val="0"/>
                          <w:divBdr>
                            <w:top w:val="none" w:sz="0" w:space="0" w:color="auto"/>
                            <w:left w:val="none" w:sz="0" w:space="0" w:color="auto"/>
                            <w:bottom w:val="none" w:sz="0" w:space="0" w:color="auto"/>
                            <w:right w:val="none" w:sz="0" w:space="0" w:color="auto"/>
                          </w:divBdr>
                        </w:div>
                        <w:div w:id="191196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8867334">
                  <w:marLeft w:val="0"/>
                  <w:marRight w:val="0"/>
                  <w:marTop w:val="0"/>
                  <w:marBottom w:val="0"/>
                  <w:divBdr>
                    <w:top w:val="none" w:sz="0" w:space="0" w:color="auto"/>
                    <w:left w:val="none" w:sz="0" w:space="0" w:color="auto"/>
                    <w:bottom w:val="none" w:sz="0" w:space="0" w:color="auto"/>
                    <w:right w:val="none" w:sz="0" w:space="0" w:color="auto"/>
                  </w:divBdr>
                  <w:divsChild>
                    <w:div w:id="1733111587">
                      <w:marLeft w:val="0"/>
                      <w:marRight w:val="0"/>
                      <w:marTop w:val="0"/>
                      <w:marBottom w:val="0"/>
                      <w:divBdr>
                        <w:top w:val="none" w:sz="0" w:space="0" w:color="auto"/>
                        <w:left w:val="none" w:sz="0" w:space="0" w:color="auto"/>
                        <w:bottom w:val="none" w:sz="0" w:space="0" w:color="auto"/>
                        <w:right w:val="none" w:sz="0" w:space="0" w:color="auto"/>
                      </w:divBdr>
                      <w:divsChild>
                        <w:div w:id="1682733024">
                          <w:marLeft w:val="0"/>
                          <w:marRight w:val="0"/>
                          <w:marTop w:val="0"/>
                          <w:marBottom w:val="0"/>
                          <w:divBdr>
                            <w:top w:val="none" w:sz="0" w:space="0" w:color="auto"/>
                            <w:left w:val="none" w:sz="0" w:space="0" w:color="auto"/>
                            <w:bottom w:val="none" w:sz="0" w:space="0" w:color="auto"/>
                            <w:right w:val="none" w:sz="0" w:space="0" w:color="auto"/>
                          </w:divBdr>
                          <w:divsChild>
                            <w:div w:id="879130388">
                              <w:marLeft w:val="0"/>
                              <w:marRight w:val="0"/>
                              <w:marTop w:val="0"/>
                              <w:marBottom w:val="0"/>
                              <w:divBdr>
                                <w:top w:val="none" w:sz="0" w:space="0" w:color="auto"/>
                                <w:left w:val="none" w:sz="0" w:space="0" w:color="auto"/>
                                <w:bottom w:val="none" w:sz="0" w:space="0" w:color="auto"/>
                                <w:right w:val="none" w:sz="0" w:space="0" w:color="auto"/>
                              </w:divBdr>
                              <w:divsChild>
                                <w:div w:id="2124810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8672349">
              <w:marLeft w:val="0"/>
              <w:marRight w:val="0"/>
              <w:marTop w:val="0"/>
              <w:marBottom w:val="450"/>
              <w:divBdr>
                <w:top w:val="none" w:sz="0" w:space="0" w:color="auto"/>
                <w:left w:val="none" w:sz="0" w:space="0" w:color="auto"/>
                <w:bottom w:val="none" w:sz="0" w:space="0" w:color="auto"/>
                <w:right w:val="none" w:sz="0" w:space="0" w:color="auto"/>
              </w:divBdr>
              <w:divsChild>
                <w:div w:id="1410348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5167110">
      <w:bodyDiv w:val="1"/>
      <w:marLeft w:val="0"/>
      <w:marRight w:val="0"/>
      <w:marTop w:val="0"/>
      <w:marBottom w:val="0"/>
      <w:divBdr>
        <w:top w:val="none" w:sz="0" w:space="0" w:color="auto"/>
        <w:left w:val="none" w:sz="0" w:space="0" w:color="auto"/>
        <w:bottom w:val="none" w:sz="0" w:space="0" w:color="auto"/>
        <w:right w:val="none" w:sz="0" w:space="0" w:color="auto"/>
      </w:divBdr>
    </w:div>
    <w:div w:id="1247419413">
      <w:bodyDiv w:val="1"/>
      <w:marLeft w:val="0"/>
      <w:marRight w:val="0"/>
      <w:marTop w:val="0"/>
      <w:marBottom w:val="0"/>
      <w:divBdr>
        <w:top w:val="none" w:sz="0" w:space="0" w:color="auto"/>
        <w:left w:val="none" w:sz="0" w:space="0" w:color="auto"/>
        <w:bottom w:val="none" w:sz="0" w:space="0" w:color="auto"/>
        <w:right w:val="none" w:sz="0" w:space="0" w:color="auto"/>
      </w:divBdr>
    </w:div>
    <w:div w:id="1296567896">
      <w:bodyDiv w:val="1"/>
      <w:marLeft w:val="0"/>
      <w:marRight w:val="0"/>
      <w:marTop w:val="0"/>
      <w:marBottom w:val="0"/>
      <w:divBdr>
        <w:top w:val="none" w:sz="0" w:space="0" w:color="auto"/>
        <w:left w:val="none" w:sz="0" w:space="0" w:color="auto"/>
        <w:bottom w:val="none" w:sz="0" w:space="0" w:color="auto"/>
        <w:right w:val="none" w:sz="0" w:space="0" w:color="auto"/>
      </w:divBdr>
    </w:div>
    <w:div w:id="1335111179">
      <w:bodyDiv w:val="1"/>
      <w:marLeft w:val="0"/>
      <w:marRight w:val="0"/>
      <w:marTop w:val="0"/>
      <w:marBottom w:val="0"/>
      <w:divBdr>
        <w:top w:val="none" w:sz="0" w:space="0" w:color="auto"/>
        <w:left w:val="none" w:sz="0" w:space="0" w:color="auto"/>
        <w:bottom w:val="none" w:sz="0" w:space="0" w:color="auto"/>
        <w:right w:val="none" w:sz="0" w:space="0" w:color="auto"/>
      </w:divBdr>
      <w:divsChild>
        <w:div w:id="70808774">
          <w:marLeft w:val="0"/>
          <w:marRight w:val="0"/>
          <w:marTop w:val="0"/>
          <w:marBottom w:val="0"/>
          <w:divBdr>
            <w:top w:val="none" w:sz="0" w:space="0" w:color="auto"/>
            <w:left w:val="none" w:sz="0" w:space="0" w:color="auto"/>
            <w:bottom w:val="none" w:sz="0" w:space="0" w:color="auto"/>
            <w:right w:val="none" w:sz="0" w:space="0" w:color="auto"/>
          </w:divBdr>
        </w:div>
        <w:div w:id="473909512">
          <w:marLeft w:val="0"/>
          <w:marRight w:val="0"/>
          <w:marTop w:val="0"/>
          <w:marBottom w:val="0"/>
          <w:divBdr>
            <w:top w:val="none" w:sz="0" w:space="0" w:color="auto"/>
            <w:left w:val="none" w:sz="0" w:space="0" w:color="auto"/>
            <w:bottom w:val="none" w:sz="0" w:space="0" w:color="auto"/>
            <w:right w:val="none" w:sz="0" w:space="0" w:color="auto"/>
          </w:divBdr>
          <w:divsChild>
            <w:div w:id="1514608736">
              <w:marLeft w:val="0"/>
              <w:marRight w:val="0"/>
              <w:marTop w:val="0"/>
              <w:marBottom w:val="0"/>
              <w:divBdr>
                <w:top w:val="none" w:sz="0" w:space="0" w:color="auto"/>
                <w:left w:val="none" w:sz="0" w:space="0" w:color="auto"/>
                <w:bottom w:val="none" w:sz="0" w:space="0" w:color="auto"/>
                <w:right w:val="none" w:sz="0" w:space="0" w:color="auto"/>
              </w:divBdr>
              <w:divsChild>
                <w:div w:id="1775591843">
                  <w:marLeft w:val="0"/>
                  <w:marRight w:val="0"/>
                  <w:marTop w:val="0"/>
                  <w:marBottom w:val="0"/>
                  <w:divBdr>
                    <w:top w:val="none" w:sz="0" w:space="0" w:color="auto"/>
                    <w:left w:val="none" w:sz="0" w:space="0" w:color="auto"/>
                    <w:bottom w:val="none" w:sz="0" w:space="0" w:color="auto"/>
                    <w:right w:val="none" w:sz="0" w:space="0" w:color="auto"/>
                  </w:divBdr>
                  <w:divsChild>
                    <w:div w:id="1528175764">
                      <w:marLeft w:val="0"/>
                      <w:marRight w:val="0"/>
                      <w:marTop w:val="0"/>
                      <w:marBottom w:val="0"/>
                      <w:divBdr>
                        <w:top w:val="none" w:sz="0" w:space="0" w:color="auto"/>
                        <w:left w:val="none" w:sz="0" w:space="0" w:color="auto"/>
                        <w:bottom w:val="none" w:sz="0" w:space="0" w:color="auto"/>
                        <w:right w:val="none" w:sz="0" w:space="0" w:color="auto"/>
                      </w:divBdr>
                      <w:divsChild>
                        <w:div w:id="124133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9795285">
      <w:bodyDiv w:val="1"/>
      <w:marLeft w:val="0"/>
      <w:marRight w:val="0"/>
      <w:marTop w:val="0"/>
      <w:marBottom w:val="0"/>
      <w:divBdr>
        <w:top w:val="none" w:sz="0" w:space="0" w:color="auto"/>
        <w:left w:val="none" w:sz="0" w:space="0" w:color="auto"/>
        <w:bottom w:val="none" w:sz="0" w:space="0" w:color="auto"/>
        <w:right w:val="none" w:sz="0" w:space="0" w:color="auto"/>
      </w:divBdr>
    </w:div>
    <w:div w:id="1364474659">
      <w:bodyDiv w:val="1"/>
      <w:marLeft w:val="0"/>
      <w:marRight w:val="0"/>
      <w:marTop w:val="0"/>
      <w:marBottom w:val="0"/>
      <w:divBdr>
        <w:top w:val="none" w:sz="0" w:space="0" w:color="auto"/>
        <w:left w:val="none" w:sz="0" w:space="0" w:color="auto"/>
        <w:bottom w:val="none" w:sz="0" w:space="0" w:color="auto"/>
        <w:right w:val="none" w:sz="0" w:space="0" w:color="auto"/>
      </w:divBdr>
    </w:div>
    <w:div w:id="1429765752">
      <w:bodyDiv w:val="1"/>
      <w:marLeft w:val="0"/>
      <w:marRight w:val="0"/>
      <w:marTop w:val="0"/>
      <w:marBottom w:val="0"/>
      <w:divBdr>
        <w:top w:val="none" w:sz="0" w:space="0" w:color="auto"/>
        <w:left w:val="none" w:sz="0" w:space="0" w:color="auto"/>
        <w:bottom w:val="none" w:sz="0" w:space="0" w:color="auto"/>
        <w:right w:val="none" w:sz="0" w:space="0" w:color="auto"/>
      </w:divBdr>
    </w:div>
    <w:div w:id="1440031525">
      <w:bodyDiv w:val="1"/>
      <w:marLeft w:val="0"/>
      <w:marRight w:val="0"/>
      <w:marTop w:val="0"/>
      <w:marBottom w:val="0"/>
      <w:divBdr>
        <w:top w:val="none" w:sz="0" w:space="0" w:color="auto"/>
        <w:left w:val="none" w:sz="0" w:space="0" w:color="auto"/>
        <w:bottom w:val="none" w:sz="0" w:space="0" w:color="auto"/>
        <w:right w:val="none" w:sz="0" w:space="0" w:color="auto"/>
      </w:divBdr>
    </w:div>
    <w:div w:id="1461991905">
      <w:bodyDiv w:val="1"/>
      <w:marLeft w:val="0"/>
      <w:marRight w:val="0"/>
      <w:marTop w:val="0"/>
      <w:marBottom w:val="0"/>
      <w:divBdr>
        <w:top w:val="none" w:sz="0" w:space="0" w:color="auto"/>
        <w:left w:val="none" w:sz="0" w:space="0" w:color="auto"/>
        <w:bottom w:val="none" w:sz="0" w:space="0" w:color="auto"/>
        <w:right w:val="none" w:sz="0" w:space="0" w:color="auto"/>
      </w:divBdr>
    </w:div>
    <w:div w:id="1586961830">
      <w:bodyDiv w:val="1"/>
      <w:marLeft w:val="0"/>
      <w:marRight w:val="0"/>
      <w:marTop w:val="0"/>
      <w:marBottom w:val="0"/>
      <w:divBdr>
        <w:top w:val="none" w:sz="0" w:space="0" w:color="auto"/>
        <w:left w:val="none" w:sz="0" w:space="0" w:color="auto"/>
        <w:bottom w:val="none" w:sz="0" w:space="0" w:color="auto"/>
        <w:right w:val="none" w:sz="0" w:space="0" w:color="auto"/>
      </w:divBdr>
    </w:div>
    <w:div w:id="1589999386">
      <w:bodyDiv w:val="1"/>
      <w:marLeft w:val="0"/>
      <w:marRight w:val="0"/>
      <w:marTop w:val="0"/>
      <w:marBottom w:val="0"/>
      <w:divBdr>
        <w:top w:val="none" w:sz="0" w:space="0" w:color="auto"/>
        <w:left w:val="none" w:sz="0" w:space="0" w:color="auto"/>
        <w:bottom w:val="none" w:sz="0" w:space="0" w:color="auto"/>
        <w:right w:val="none" w:sz="0" w:space="0" w:color="auto"/>
      </w:divBdr>
    </w:div>
    <w:div w:id="1595821983">
      <w:bodyDiv w:val="1"/>
      <w:marLeft w:val="0"/>
      <w:marRight w:val="0"/>
      <w:marTop w:val="0"/>
      <w:marBottom w:val="0"/>
      <w:divBdr>
        <w:top w:val="none" w:sz="0" w:space="0" w:color="auto"/>
        <w:left w:val="none" w:sz="0" w:space="0" w:color="auto"/>
        <w:bottom w:val="none" w:sz="0" w:space="0" w:color="auto"/>
        <w:right w:val="none" w:sz="0" w:space="0" w:color="auto"/>
      </w:divBdr>
      <w:divsChild>
        <w:div w:id="1043795645">
          <w:marLeft w:val="0"/>
          <w:marRight w:val="0"/>
          <w:marTop w:val="0"/>
          <w:marBottom w:val="0"/>
          <w:divBdr>
            <w:top w:val="none" w:sz="0" w:space="0" w:color="auto"/>
            <w:left w:val="none" w:sz="0" w:space="0" w:color="auto"/>
            <w:bottom w:val="none" w:sz="0" w:space="0" w:color="auto"/>
            <w:right w:val="none" w:sz="0" w:space="0" w:color="auto"/>
          </w:divBdr>
          <w:divsChild>
            <w:div w:id="157890805">
              <w:marLeft w:val="0"/>
              <w:marRight w:val="150"/>
              <w:marTop w:val="0"/>
              <w:marBottom w:val="180"/>
              <w:divBdr>
                <w:top w:val="none" w:sz="0" w:space="0" w:color="auto"/>
                <w:left w:val="none" w:sz="0" w:space="0" w:color="auto"/>
                <w:bottom w:val="none" w:sz="0" w:space="0" w:color="auto"/>
                <w:right w:val="none" w:sz="0" w:space="0" w:color="auto"/>
              </w:divBdr>
            </w:div>
            <w:div w:id="931594538">
              <w:marLeft w:val="0"/>
              <w:marRight w:val="150"/>
              <w:marTop w:val="0"/>
              <w:marBottom w:val="180"/>
              <w:divBdr>
                <w:top w:val="none" w:sz="0" w:space="0" w:color="auto"/>
                <w:left w:val="none" w:sz="0" w:space="0" w:color="auto"/>
                <w:bottom w:val="none" w:sz="0" w:space="0" w:color="auto"/>
                <w:right w:val="none" w:sz="0" w:space="0" w:color="auto"/>
              </w:divBdr>
            </w:div>
            <w:div w:id="1509368391">
              <w:marLeft w:val="0"/>
              <w:marRight w:val="150"/>
              <w:marTop w:val="0"/>
              <w:marBottom w:val="180"/>
              <w:divBdr>
                <w:top w:val="none" w:sz="0" w:space="0" w:color="auto"/>
                <w:left w:val="none" w:sz="0" w:space="0" w:color="auto"/>
                <w:bottom w:val="none" w:sz="0" w:space="0" w:color="auto"/>
                <w:right w:val="none" w:sz="0" w:space="0" w:color="auto"/>
              </w:divBdr>
              <w:divsChild>
                <w:div w:id="1357972169">
                  <w:marLeft w:val="15"/>
                  <w:marRight w:val="15"/>
                  <w:marTop w:val="15"/>
                  <w:marBottom w:val="15"/>
                  <w:divBdr>
                    <w:top w:val="none" w:sz="0" w:space="0" w:color="auto"/>
                    <w:left w:val="none" w:sz="0" w:space="0" w:color="auto"/>
                    <w:bottom w:val="none" w:sz="0" w:space="0" w:color="auto"/>
                    <w:right w:val="none" w:sz="0" w:space="0" w:color="auto"/>
                  </w:divBdr>
                </w:div>
              </w:divsChild>
            </w:div>
          </w:divsChild>
        </w:div>
        <w:div w:id="1086342712">
          <w:marLeft w:val="0"/>
          <w:marRight w:val="0"/>
          <w:marTop w:val="0"/>
          <w:marBottom w:val="0"/>
          <w:divBdr>
            <w:top w:val="none" w:sz="0" w:space="0" w:color="auto"/>
            <w:left w:val="none" w:sz="0" w:space="0" w:color="auto"/>
            <w:bottom w:val="none" w:sz="0" w:space="0" w:color="auto"/>
            <w:right w:val="none" w:sz="0" w:space="0" w:color="auto"/>
          </w:divBdr>
        </w:div>
      </w:divsChild>
    </w:div>
    <w:div w:id="1604998643">
      <w:bodyDiv w:val="1"/>
      <w:marLeft w:val="0"/>
      <w:marRight w:val="0"/>
      <w:marTop w:val="0"/>
      <w:marBottom w:val="0"/>
      <w:divBdr>
        <w:top w:val="none" w:sz="0" w:space="0" w:color="auto"/>
        <w:left w:val="none" w:sz="0" w:space="0" w:color="auto"/>
        <w:bottom w:val="none" w:sz="0" w:space="0" w:color="auto"/>
        <w:right w:val="none" w:sz="0" w:space="0" w:color="auto"/>
      </w:divBdr>
    </w:div>
    <w:div w:id="1653874383">
      <w:bodyDiv w:val="1"/>
      <w:marLeft w:val="0"/>
      <w:marRight w:val="0"/>
      <w:marTop w:val="0"/>
      <w:marBottom w:val="0"/>
      <w:divBdr>
        <w:top w:val="none" w:sz="0" w:space="0" w:color="auto"/>
        <w:left w:val="none" w:sz="0" w:space="0" w:color="auto"/>
        <w:bottom w:val="none" w:sz="0" w:space="0" w:color="auto"/>
        <w:right w:val="none" w:sz="0" w:space="0" w:color="auto"/>
      </w:divBdr>
      <w:divsChild>
        <w:div w:id="1748068689">
          <w:marLeft w:val="0"/>
          <w:marRight w:val="0"/>
          <w:marTop w:val="0"/>
          <w:marBottom w:val="0"/>
          <w:divBdr>
            <w:top w:val="none" w:sz="0" w:space="0" w:color="auto"/>
            <w:left w:val="none" w:sz="0" w:space="0" w:color="auto"/>
            <w:bottom w:val="none" w:sz="0" w:space="0" w:color="auto"/>
            <w:right w:val="none" w:sz="0" w:space="0" w:color="auto"/>
          </w:divBdr>
          <w:divsChild>
            <w:div w:id="367142944">
              <w:marLeft w:val="0"/>
              <w:marRight w:val="0"/>
              <w:marTop w:val="0"/>
              <w:marBottom w:val="0"/>
              <w:divBdr>
                <w:top w:val="none" w:sz="0" w:space="0" w:color="auto"/>
                <w:left w:val="none" w:sz="0" w:space="0" w:color="auto"/>
                <w:bottom w:val="none" w:sz="0" w:space="0" w:color="auto"/>
                <w:right w:val="none" w:sz="0" w:space="0" w:color="auto"/>
              </w:divBdr>
              <w:divsChild>
                <w:div w:id="1844660596">
                  <w:marLeft w:val="0"/>
                  <w:marRight w:val="0"/>
                  <w:marTop w:val="0"/>
                  <w:marBottom w:val="0"/>
                  <w:divBdr>
                    <w:top w:val="none" w:sz="0" w:space="0" w:color="auto"/>
                    <w:left w:val="none" w:sz="0" w:space="0" w:color="auto"/>
                    <w:bottom w:val="none" w:sz="0" w:space="0" w:color="auto"/>
                    <w:right w:val="none" w:sz="0" w:space="0" w:color="auto"/>
                  </w:divBdr>
                  <w:divsChild>
                    <w:div w:id="1286345916">
                      <w:marLeft w:val="0"/>
                      <w:marRight w:val="0"/>
                      <w:marTop w:val="0"/>
                      <w:marBottom w:val="0"/>
                      <w:divBdr>
                        <w:top w:val="none" w:sz="0" w:space="0" w:color="auto"/>
                        <w:left w:val="none" w:sz="0" w:space="0" w:color="auto"/>
                        <w:bottom w:val="none" w:sz="0" w:space="0" w:color="auto"/>
                        <w:right w:val="none" w:sz="0" w:space="0" w:color="auto"/>
                      </w:divBdr>
                      <w:divsChild>
                        <w:div w:id="574777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4158284">
      <w:bodyDiv w:val="1"/>
      <w:marLeft w:val="0"/>
      <w:marRight w:val="0"/>
      <w:marTop w:val="0"/>
      <w:marBottom w:val="0"/>
      <w:divBdr>
        <w:top w:val="none" w:sz="0" w:space="0" w:color="auto"/>
        <w:left w:val="none" w:sz="0" w:space="0" w:color="auto"/>
        <w:bottom w:val="none" w:sz="0" w:space="0" w:color="auto"/>
        <w:right w:val="none" w:sz="0" w:space="0" w:color="auto"/>
      </w:divBdr>
    </w:div>
    <w:div w:id="1699156759">
      <w:bodyDiv w:val="1"/>
      <w:marLeft w:val="0"/>
      <w:marRight w:val="0"/>
      <w:marTop w:val="0"/>
      <w:marBottom w:val="0"/>
      <w:divBdr>
        <w:top w:val="none" w:sz="0" w:space="0" w:color="auto"/>
        <w:left w:val="none" w:sz="0" w:space="0" w:color="auto"/>
        <w:bottom w:val="none" w:sz="0" w:space="0" w:color="auto"/>
        <w:right w:val="none" w:sz="0" w:space="0" w:color="auto"/>
      </w:divBdr>
    </w:div>
    <w:div w:id="1712529958">
      <w:bodyDiv w:val="1"/>
      <w:marLeft w:val="0"/>
      <w:marRight w:val="0"/>
      <w:marTop w:val="0"/>
      <w:marBottom w:val="0"/>
      <w:divBdr>
        <w:top w:val="none" w:sz="0" w:space="0" w:color="auto"/>
        <w:left w:val="none" w:sz="0" w:space="0" w:color="auto"/>
        <w:bottom w:val="none" w:sz="0" w:space="0" w:color="auto"/>
        <w:right w:val="none" w:sz="0" w:space="0" w:color="auto"/>
      </w:divBdr>
    </w:div>
    <w:div w:id="1747994034">
      <w:bodyDiv w:val="1"/>
      <w:marLeft w:val="0"/>
      <w:marRight w:val="0"/>
      <w:marTop w:val="0"/>
      <w:marBottom w:val="0"/>
      <w:divBdr>
        <w:top w:val="none" w:sz="0" w:space="0" w:color="auto"/>
        <w:left w:val="none" w:sz="0" w:space="0" w:color="auto"/>
        <w:bottom w:val="none" w:sz="0" w:space="0" w:color="auto"/>
        <w:right w:val="none" w:sz="0" w:space="0" w:color="auto"/>
      </w:divBdr>
    </w:div>
    <w:div w:id="1761753867">
      <w:bodyDiv w:val="1"/>
      <w:marLeft w:val="0"/>
      <w:marRight w:val="0"/>
      <w:marTop w:val="0"/>
      <w:marBottom w:val="0"/>
      <w:divBdr>
        <w:top w:val="none" w:sz="0" w:space="0" w:color="auto"/>
        <w:left w:val="none" w:sz="0" w:space="0" w:color="auto"/>
        <w:bottom w:val="none" w:sz="0" w:space="0" w:color="auto"/>
        <w:right w:val="none" w:sz="0" w:space="0" w:color="auto"/>
      </w:divBdr>
    </w:div>
    <w:div w:id="1825469796">
      <w:bodyDiv w:val="1"/>
      <w:marLeft w:val="0"/>
      <w:marRight w:val="0"/>
      <w:marTop w:val="0"/>
      <w:marBottom w:val="0"/>
      <w:divBdr>
        <w:top w:val="none" w:sz="0" w:space="0" w:color="auto"/>
        <w:left w:val="none" w:sz="0" w:space="0" w:color="auto"/>
        <w:bottom w:val="none" w:sz="0" w:space="0" w:color="auto"/>
        <w:right w:val="none" w:sz="0" w:space="0" w:color="auto"/>
      </w:divBdr>
    </w:div>
    <w:div w:id="1960840286">
      <w:bodyDiv w:val="1"/>
      <w:marLeft w:val="0"/>
      <w:marRight w:val="0"/>
      <w:marTop w:val="0"/>
      <w:marBottom w:val="0"/>
      <w:divBdr>
        <w:top w:val="none" w:sz="0" w:space="0" w:color="auto"/>
        <w:left w:val="none" w:sz="0" w:space="0" w:color="auto"/>
        <w:bottom w:val="none" w:sz="0" w:space="0" w:color="auto"/>
        <w:right w:val="none" w:sz="0" w:space="0" w:color="auto"/>
      </w:divBdr>
    </w:div>
    <w:div w:id="1990940497">
      <w:bodyDiv w:val="1"/>
      <w:marLeft w:val="0"/>
      <w:marRight w:val="0"/>
      <w:marTop w:val="0"/>
      <w:marBottom w:val="0"/>
      <w:divBdr>
        <w:top w:val="none" w:sz="0" w:space="0" w:color="auto"/>
        <w:left w:val="none" w:sz="0" w:space="0" w:color="auto"/>
        <w:bottom w:val="none" w:sz="0" w:space="0" w:color="auto"/>
        <w:right w:val="none" w:sz="0" w:space="0" w:color="auto"/>
      </w:divBdr>
    </w:div>
    <w:div w:id="2022199109">
      <w:bodyDiv w:val="1"/>
      <w:marLeft w:val="0"/>
      <w:marRight w:val="0"/>
      <w:marTop w:val="0"/>
      <w:marBottom w:val="0"/>
      <w:divBdr>
        <w:top w:val="none" w:sz="0" w:space="0" w:color="auto"/>
        <w:left w:val="none" w:sz="0" w:space="0" w:color="auto"/>
        <w:bottom w:val="none" w:sz="0" w:space="0" w:color="auto"/>
        <w:right w:val="none" w:sz="0" w:space="0" w:color="auto"/>
      </w:divBdr>
    </w:div>
    <w:div w:id="2086874679">
      <w:bodyDiv w:val="1"/>
      <w:marLeft w:val="0"/>
      <w:marRight w:val="0"/>
      <w:marTop w:val="0"/>
      <w:marBottom w:val="0"/>
      <w:divBdr>
        <w:top w:val="none" w:sz="0" w:space="0" w:color="auto"/>
        <w:left w:val="none" w:sz="0" w:space="0" w:color="auto"/>
        <w:bottom w:val="none" w:sz="0" w:space="0" w:color="auto"/>
        <w:right w:val="none" w:sz="0" w:space="0" w:color="auto"/>
      </w:divBdr>
    </w:div>
    <w:div w:id="2091459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spr.hhs.gov/newsroom/Pages/cybersecurity-8March23.aspx" TargetMode="External"/><Relationship Id="rId13" Type="http://schemas.openxmlformats.org/officeDocument/2006/relationships/hyperlink" Target="https://protect-us.mimecast.com/s/1ZxWCJ6KzMSpMAMIzBHr_" TargetMode="External"/><Relationship Id="rId3" Type="http://schemas.openxmlformats.org/officeDocument/2006/relationships/styles" Target="styles.xml"/><Relationship Id="rId7" Type="http://schemas.openxmlformats.org/officeDocument/2006/relationships/hyperlink" Target="https://www.whitehouse.gov/wp-content/uploads/2023/03/budget_fy2024.pdf" TargetMode="External"/><Relationship Id="rId12" Type="http://schemas.openxmlformats.org/officeDocument/2006/relationships/hyperlink" Target="https://www.healthit.gov/buzz-blog/health-it-policy/a-turning-point-in-electronic-health-information-progress"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s://lnks.gd/l/eyJhbGciOiJIUzI1NiJ9.eyJidWxsZXRpbl9saW5rX2lkIjoxMDMsInVyaSI6ImJwMjpjbGljayIsImJ1bGxldGluX2lkIjoiMjAyMzAzMDcuNzI4OTQwNzEiLCJ1cmwiOiJodHRwczovL3FwcC1jbS1wcm9kLWNvbnRlbnQuczMuYW1hem9uYXdzLmNvbS91cGxvYWRzLzE4NDcvMjAyMyUyME1WUHMlMjBJbXBsZW1lbnRhdGlvbiUyMEd1aWRlLnBkZiJ9.trMnJdgeSILUJz3jH2Ca1Gn0ZYEi-ftXGfGihdLdPo0/s/1512935674/br/155736803466-l" TargetMode="External"/><Relationship Id="rId5" Type="http://schemas.openxmlformats.org/officeDocument/2006/relationships/webSettings" Target="webSettings.xml"/><Relationship Id="rId15" Type="http://schemas.openxmlformats.org/officeDocument/2006/relationships/hyperlink" Target="https://www.ftc.gov/news-events/news/press-releases/2023/03/ftc-ban-betterhelp-revealing-consumers-data-including-sensitive-mental-health-information-facebook" TargetMode="External"/><Relationship Id="rId10" Type="http://schemas.openxmlformats.org/officeDocument/2006/relationships/hyperlink" Target="https://qpp.cms.gov/mips/mips-value-pathways" TargetMode="External"/><Relationship Id="rId4" Type="http://schemas.openxmlformats.org/officeDocument/2006/relationships/settings" Target="settings.xml"/><Relationship Id="rId9" Type="http://schemas.openxmlformats.org/officeDocument/2006/relationships/hyperlink" Target="https://csrc.nist.gov/publications/detail/nistir/8432/draft" TargetMode="External"/><Relationship Id="rId14" Type="http://schemas.openxmlformats.org/officeDocument/2006/relationships/hyperlink" Target="https://apnews.com/article/congress-data-breach-hack-identity-theft-e4355e9e6756b1487c34c7accd0eb58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366B92-FF28-4B21-ABB7-8FACACE557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1281</Words>
  <Characters>7308</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Tennant</dc:creator>
  <cp:keywords/>
  <dc:description/>
  <cp:lastModifiedBy>Samantha Holvey</cp:lastModifiedBy>
  <cp:revision>7</cp:revision>
  <dcterms:created xsi:type="dcterms:W3CDTF">2023-03-13T14:51:00Z</dcterms:created>
  <dcterms:modified xsi:type="dcterms:W3CDTF">2023-03-13T14:54:00Z</dcterms:modified>
</cp:coreProperties>
</file>