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3137" w14:textId="77777777" w:rsidR="00C36963" w:rsidRDefault="002106E9">
      <w:pPr>
        <w:pStyle w:val="Title"/>
      </w:pPr>
      <w:r>
        <w:t>Board REport</w:t>
      </w:r>
    </w:p>
    <w:p w14:paraId="4F4BF0CF" w14:textId="7F1B5944" w:rsidR="00C36963" w:rsidRPr="002106E9" w:rsidRDefault="008D0C90" w:rsidP="740BA85D">
      <w:pPr>
        <w:pStyle w:val="Subtitle"/>
        <w:rPr>
          <w:color w:val="0070C0"/>
        </w:rPr>
      </w:pPr>
      <w:r>
        <w:rPr>
          <w:color w:val="0070C0"/>
        </w:rPr>
        <w:t>December</w:t>
      </w:r>
      <w:r w:rsidR="46204EDE" w:rsidRPr="740BA85D">
        <w:rPr>
          <w:color w:val="0070C0"/>
        </w:rPr>
        <w:t xml:space="preserve"> </w:t>
      </w:r>
      <w:r w:rsidR="002106E9" w:rsidRPr="740BA85D">
        <w:rPr>
          <w:color w:val="0070C0"/>
        </w:rPr>
        <w:t>20</w:t>
      </w:r>
      <w:r w:rsidR="00FD50B6" w:rsidRPr="740BA85D">
        <w:rPr>
          <w:color w:val="0070C0"/>
        </w:rPr>
        <w:t>21</w:t>
      </w:r>
    </w:p>
    <w:p w14:paraId="2F620958" w14:textId="77777777" w:rsidR="00C36963" w:rsidRDefault="002106E9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ED49656" wp14:editId="4C984A24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4953000" cy="4546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ITPA LOGO (201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Theme="minorHAnsi" w:eastAsiaTheme="minorHAnsi" w:hAnsiTheme="minorHAnsi" w:cstheme="minorBidi"/>
          <w:b w:val="0"/>
          <w:bCs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caps/>
          <w:noProof/>
          <w:color w:val="2A2A2A" w:themeColor="text2"/>
          <w:sz w:val="28"/>
        </w:rPr>
      </w:sdtEndPr>
      <w:sdtContent>
        <w:p w14:paraId="5F0D4E22" w14:textId="77777777" w:rsidR="00C36963" w:rsidRDefault="00A95A8F">
          <w:pPr>
            <w:pStyle w:val="TOCHeading"/>
          </w:pPr>
          <w:r w:rsidRPr="002106E9">
            <w:rPr>
              <w:rStyle w:val="Emphasis"/>
              <w:color w:val="0070C0"/>
            </w:rPr>
            <w:t>TAble of</w:t>
          </w:r>
          <w:r w:rsidRPr="002106E9">
            <w:rPr>
              <w:rStyle w:val="Emphasis"/>
              <w:color w:val="0070C0"/>
            </w:rPr>
            <w:br/>
          </w:r>
          <w:r>
            <w:t>Contents</w:t>
          </w:r>
        </w:p>
        <w:p w14:paraId="7A90A070" w14:textId="5A03AD54" w:rsidR="008D0C90" w:rsidRDefault="002106E9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fldChar w:fldCharType="begin"/>
          </w:r>
          <w:r>
            <w:instrText xml:space="preserve"> TOC \o "1-3" \u </w:instrText>
          </w:r>
          <w:r>
            <w:rPr>
              <w:noProof/>
            </w:rPr>
            <w:fldChar w:fldCharType="separate"/>
          </w:r>
          <w:r w:rsidR="008D0C90" w:rsidRPr="00DC2099">
            <w:rPr>
              <w:iCs/>
              <w:noProof/>
              <w:color w:val="0070C0"/>
            </w:rPr>
            <w:t xml:space="preserve">Purpose </w:t>
          </w:r>
          <w:r w:rsidR="008D0C90">
            <w:rPr>
              <w:noProof/>
            </w:rPr>
            <w:t xml:space="preserve"> of report</w:t>
          </w:r>
          <w:r w:rsidR="008D0C90">
            <w:rPr>
              <w:noProof/>
            </w:rPr>
            <w:tab/>
          </w:r>
          <w:r w:rsidR="008D0C90">
            <w:rPr>
              <w:noProof/>
            </w:rPr>
            <w:fldChar w:fldCharType="begin"/>
          </w:r>
          <w:r w:rsidR="008D0C90">
            <w:rPr>
              <w:noProof/>
            </w:rPr>
            <w:instrText xml:space="preserve"> PAGEREF _Toc89702047 \h </w:instrText>
          </w:r>
          <w:r w:rsidR="008D0C90">
            <w:rPr>
              <w:noProof/>
            </w:rPr>
          </w:r>
          <w:r w:rsidR="008D0C90">
            <w:rPr>
              <w:noProof/>
            </w:rPr>
            <w:fldChar w:fldCharType="separate"/>
          </w:r>
          <w:r w:rsidR="008D0C90">
            <w:rPr>
              <w:noProof/>
            </w:rPr>
            <w:t>1</w:t>
          </w:r>
          <w:r w:rsidR="008D0C90">
            <w:rPr>
              <w:noProof/>
            </w:rPr>
            <w:fldChar w:fldCharType="end"/>
          </w:r>
        </w:p>
        <w:p w14:paraId="1967DA35" w14:textId="7FF4E9AB" w:rsidR="008D0C90" w:rsidRDefault="008D0C90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DC2099">
            <w:rPr>
              <w:rFonts w:eastAsiaTheme="majorEastAsia" w:cstheme="majorBidi"/>
              <w:iCs/>
              <w:noProof/>
              <w:color w:val="0070C0"/>
            </w:rPr>
            <w:t xml:space="preserve">Latest </w:t>
          </w:r>
          <w:r w:rsidRPr="00DC2099">
            <w:rPr>
              <w:rFonts w:eastAsiaTheme="majorEastAsia" w:cstheme="majorBidi"/>
              <w:noProof/>
            </w:rPr>
            <w:t xml:space="preserve"> board meeting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02ADDEC" w14:textId="0C043ADA" w:rsidR="008D0C90" w:rsidRDefault="008D0C90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DC2099">
            <w:rPr>
              <w:rFonts w:eastAsiaTheme="majorEastAsia" w:cstheme="majorBidi"/>
              <w:iCs/>
              <w:noProof/>
              <w:color w:val="0070C0"/>
            </w:rPr>
            <w:t xml:space="preserve">Operational </w:t>
          </w:r>
          <w:r w:rsidRPr="00DC2099">
            <w:rPr>
              <w:rFonts w:eastAsiaTheme="majorEastAsia" w:cstheme="majorBidi"/>
              <w:noProof/>
            </w:rPr>
            <w:t xml:space="preserve"> Update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7908931" w14:textId="2A972FA7" w:rsidR="008D0C90" w:rsidRDefault="008D0C9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2020 Fall (Phoenix, AZ)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EEBEA34" w14:textId="6EC75190" w:rsidR="008D0C90" w:rsidRDefault="008D0C9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2021 Spring (Cincinnati, OH)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B8498B9" w14:textId="7174DCA9" w:rsidR="008D0C90" w:rsidRDefault="008D0C9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2022 Spring (Cincinnati, OH)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8E39DC9" w14:textId="3999AAEB" w:rsidR="008D0C90" w:rsidRDefault="008D0C9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2022 Fall (Phoenix, AZ)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F292B25" w14:textId="16A0061E" w:rsidR="008D0C90" w:rsidRDefault="008D0C90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DC2099">
            <w:rPr>
              <w:rFonts w:eastAsiaTheme="majorEastAsia" w:cstheme="majorBidi"/>
              <w:iCs/>
              <w:noProof/>
              <w:color w:val="0070C0"/>
            </w:rPr>
            <w:t xml:space="preserve">Membership </w:t>
          </w:r>
          <w:r w:rsidRPr="00DC2099">
            <w:rPr>
              <w:rFonts w:eastAsiaTheme="majorEastAsia" w:cstheme="majorBidi"/>
              <w:noProof/>
            </w:rPr>
            <w:t xml:space="preserve"> Update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968FF7B" w14:textId="1661A06C" w:rsidR="008D0C90" w:rsidRDefault="008D0C9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Current Membership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C1E181B" w14:textId="35E05F95" w:rsidR="008D0C90" w:rsidRDefault="008D0C9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2021 Additions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98F988E" w14:textId="11AFE5AE" w:rsidR="008D0C90" w:rsidRDefault="008D0C9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2021 Cancellations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4DC43C5" w14:textId="39FDDF38" w:rsidR="008D0C90" w:rsidRDefault="008D0C90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DC2099">
            <w:rPr>
              <w:rFonts w:eastAsiaTheme="majorEastAsia" w:cstheme="majorBidi"/>
              <w:iCs/>
              <w:noProof/>
              <w:color w:val="0070C0"/>
            </w:rPr>
            <w:t xml:space="preserve">Financial </w:t>
          </w:r>
          <w:r w:rsidRPr="00DC2099">
            <w:rPr>
              <w:rFonts w:eastAsiaTheme="majorEastAsia" w:cstheme="majorBidi"/>
              <w:noProof/>
            </w:rPr>
            <w:t xml:space="preserve"> Update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120C1A6" w14:textId="48B03606" w:rsidR="008D0C90" w:rsidRDefault="008D0C9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lastRenderedPageBreak/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0B1B20F" w14:textId="42F79A27" w:rsidR="008D0C90" w:rsidRDefault="008D0C9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 w:rsidRPr="00DC2099">
            <w:rPr>
              <w:rFonts w:eastAsiaTheme="majorEastAsia"/>
              <w:iCs/>
              <w:noProof/>
              <w:color w:val="0070C0"/>
            </w:rPr>
            <w:t>Sponsors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3C089821" w14:textId="4431BAFE" w:rsidR="008D0C90" w:rsidRDefault="008D0C90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DC2099">
            <w:rPr>
              <w:rFonts w:eastAsiaTheme="majorEastAsia" w:cstheme="majorBidi"/>
              <w:iCs/>
              <w:noProof/>
              <w:color w:val="0070C0"/>
            </w:rPr>
            <w:t>Governance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0C10A0C" w14:textId="22AADFC5" w:rsidR="008D0C90" w:rsidRDefault="008D0C9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 xml:space="preserve">ITPA Board of </w:t>
          </w:r>
          <w:r w:rsidR="00EA6725">
            <w:rPr>
              <w:noProof/>
            </w:rPr>
            <w:t>D</w:t>
          </w:r>
          <w:r>
            <w:rPr>
              <w:noProof/>
            </w:rPr>
            <w:t>irectors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_Toc89702062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2C4C8815" w14:textId="78AB4E6A" w:rsidR="00C36963" w:rsidRDefault="002106E9" w:rsidP="008F7C45">
          <w:pPr>
            <w:pStyle w:val="TOC1"/>
          </w:pPr>
          <w:r>
            <w:rPr>
              <w:b w:val="0"/>
              <w:bCs w:val="0"/>
              <w:caps w:val="0"/>
            </w:rPr>
            <w:fldChar w:fldCharType="end"/>
          </w:r>
        </w:p>
      </w:sdtContent>
    </w:sdt>
    <w:p w14:paraId="0F0D60BA" w14:textId="77777777" w:rsidR="00C36963" w:rsidRDefault="00C36963">
      <w:pPr>
        <w:sectPr w:rsidR="00C36963">
          <w:pgSz w:w="12240" w:h="15840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p w14:paraId="0F4483E9" w14:textId="77777777" w:rsidR="00C36963" w:rsidRDefault="002106E9" w:rsidP="00494352">
      <w:pPr>
        <w:pStyle w:val="Heading1"/>
        <w:spacing w:after="0"/>
      </w:pPr>
      <w:bookmarkStart w:id="0" w:name="_Toc89702047"/>
      <w:r w:rsidRPr="002106E9">
        <w:rPr>
          <w:rStyle w:val="Emphasis"/>
          <w:color w:val="0070C0"/>
        </w:rPr>
        <w:lastRenderedPageBreak/>
        <w:t xml:space="preserve">Purpose </w:t>
      </w:r>
      <w:r w:rsidR="00A95A8F">
        <w:br/>
      </w:r>
      <w:r>
        <w:t>of report</w:t>
      </w:r>
      <w:bookmarkEnd w:id="0"/>
    </w:p>
    <w:p w14:paraId="24490E71" w14:textId="77777777" w:rsidR="00494352" w:rsidRDefault="00494352"/>
    <w:p w14:paraId="528527EF" w14:textId="0C2C7170" w:rsidR="00C36963" w:rsidRDefault="007B710C">
      <w:r>
        <w:t xml:space="preserve">The </w:t>
      </w:r>
      <w:r w:rsidR="00F61644">
        <w:t>B</w:t>
      </w:r>
      <w:r>
        <w:t>oard and the ITPA office</w:t>
      </w:r>
      <w:r w:rsidR="002106E9">
        <w:t xml:space="preserve"> provide transparency to the ITPA</w:t>
      </w:r>
      <w:r>
        <w:t xml:space="preserve"> members. T</w:t>
      </w:r>
      <w:r w:rsidR="002106E9">
        <w:t xml:space="preserve">his report serves as an update to the Board and its members. The report will communicate </w:t>
      </w:r>
      <w:r w:rsidR="007E66F3">
        <w:t xml:space="preserve">the </w:t>
      </w:r>
      <w:r w:rsidR="002106E9">
        <w:t>current status and projects as well as the association direction.</w:t>
      </w:r>
    </w:p>
    <w:p w14:paraId="592138BC" w14:textId="77777777" w:rsidR="000D33C7" w:rsidRDefault="000D33C7"/>
    <w:p w14:paraId="5902599E" w14:textId="77777777" w:rsidR="000D33C7" w:rsidRDefault="000D33C7">
      <w:r>
        <w:br w:type="page"/>
      </w:r>
    </w:p>
    <w:p w14:paraId="3715BA39" w14:textId="77777777" w:rsidR="002106E9" w:rsidRPr="002106E9" w:rsidRDefault="002106E9" w:rsidP="002106E9">
      <w:pPr>
        <w:keepNext/>
        <w:keepLines/>
        <w:spacing w:after="3700" w:line="240" w:lineRule="auto"/>
        <w:contextualSpacing/>
        <w:outlineLvl w:val="0"/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</w:pPr>
      <w:bookmarkStart w:id="1" w:name="_Toc89702048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Latest</w:t>
      </w:r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  <w:r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t>board meeting</w:t>
      </w:r>
      <w:bookmarkEnd w:id="1"/>
    </w:p>
    <w:p w14:paraId="2B0F9959" w14:textId="27057D31" w:rsidR="002106E9" w:rsidRPr="00F66DB4" w:rsidRDefault="31671172" w:rsidP="00A00758">
      <w:pPr>
        <w:rPr>
          <w:sz w:val="36"/>
          <w:szCs w:val="36"/>
        </w:rPr>
      </w:pPr>
      <w:r w:rsidRPr="14C9379F">
        <w:rPr>
          <w:sz w:val="36"/>
          <w:szCs w:val="36"/>
        </w:rPr>
        <w:t xml:space="preserve">Fall </w:t>
      </w:r>
      <w:r w:rsidR="00F66DB4" w:rsidRPr="14C9379F">
        <w:rPr>
          <w:sz w:val="36"/>
          <w:szCs w:val="36"/>
        </w:rPr>
        <w:t>Board Meeting:</w:t>
      </w:r>
    </w:p>
    <w:p w14:paraId="6E515DDB" w14:textId="27427FA7" w:rsidR="00AA21CF" w:rsidRDefault="00AA21CF" w:rsidP="14C9379F">
      <w:r>
        <w:t xml:space="preserve">Chairman </w:t>
      </w:r>
      <w:r w:rsidR="00452E47">
        <w:t>Rudy Niswanger</w:t>
      </w:r>
      <w:r>
        <w:t xml:space="preserve"> </w:t>
      </w:r>
      <w:r w:rsidR="00F010F8">
        <w:t xml:space="preserve">opened </w:t>
      </w:r>
      <w:r w:rsidR="0065053F">
        <w:t xml:space="preserve">by </w:t>
      </w:r>
      <w:r w:rsidR="73BAF010">
        <w:t>thanking the board and committees for enduring</w:t>
      </w:r>
      <w:r w:rsidR="00440EA8">
        <w:t xml:space="preserve"> </w:t>
      </w:r>
      <w:r w:rsidR="02ABE73A">
        <w:t xml:space="preserve">the pandemic through </w:t>
      </w:r>
      <w:r w:rsidR="00440EA8">
        <w:t xml:space="preserve">2020 </w:t>
      </w:r>
      <w:r w:rsidR="77CEDC3A">
        <w:t xml:space="preserve">and most of 2021. </w:t>
      </w:r>
      <w:r w:rsidR="00C94464">
        <w:t xml:space="preserve">He </w:t>
      </w:r>
      <w:r w:rsidR="214D4639">
        <w:t xml:space="preserve">also expressed how great it was to see everyone again. </w:t>
      </w:r>
    </w:p>
    <w:p w14:paraId="06399D3F" w14:textId="57DC95A9" w:rsidR="002019D1" w:rsidRDefault="62C631EC" w:rsidP="00A00758">
      <w:r>
        <w:t>Executive Director Scott Tetz, explained t</w:t>
      </w:r>
      <w:r w:rsidR="214D4639">
        <w:t xml:space="preserve">he ITPA audit came back </w:t>
      </w:r>
      <w:r w:rsidR="3D0B6A2A">
        <w:t xml:space="preserve">with no changes </w:t>
      </w:r>
      <w:r w:rsidR="22707B90">
        <w:t>to the processes or procedur</w:t>
      </w:r>
      <w:r w:rsidR="10451CA8">
        <w:t>es. There were a few smal</w:t>
      </w:r>
      <w:r w:rsidR="4EEA01D9">
        <w:t>l adjusting entries which will be amended in 2021. The board approved the audit and ad</w:t>
      </w:r>
      <w:r w:rsidR="40D69C04">
        <w:t xml:space="preserve">justing entries. </w:t>
      </w:r>
      <w:r w:rsidR="22707B90">
        <w:t xml:space="preserve"> </w:t>
      </w:r>
      <w:r w:rsidR="214D4639">
        <w:t xml:space="preserve"> </w:t>
      </w:r>
    </w:p>
    <w:p w14:paraId="0E22F940" w14:textId="3F257B1A" w:rsidR="002019D1" w:rsidRDefault="55BF60E7" w:rsidP="00A00758">
      <w:r>
        <w:t xml:space="preserve">The </w:t>
      </w:r>
      <w:r w:rsidR="78292063">
        <w:t xml:space="preserve">board’s </w:t>
      </w:r>
      <w:r>
        <w:t>strategic planning meeting which is scheduled every 5 years was planned in 2020</w:t>
      </w:r>
      <w:r w:rsidR="18D6ADCB">
        <w:t xml:space="preserve">. The meeting was rescheduled to </w:t>
      </w:r>
      <w:r w:rsidR="00E157ED">
        <w:t xml:space="preserve">April </w:t>
      </w:r>
      <w:r w:rsidR="18D6ADCB">
        <w:t>202</w:t>
      </w:r>
      <w:r w:rsidR="00E157ED">
        <w:t>2</w:t>
      </w:r>
      <w:r w:rsidR="00F2704F">
        <w:t>, prior to the Spring Meeting</w:t>
      </w:r>
      <w:r w:rsidR="18D6ADCB">
        <w:t xml:space="preserve">. </w:t>
      </w:r>
      <w:r w:rsidR="577B92FC">
        <w:t xml:space="preserve">Several operational changes have been suggested by members will be discussed, </w:t>
      </w:r>
      <w:r w:rsidR="1CF5D73C">
        <w:t xml:space="preserve">and equally as </w:t>
      </w:r>
      <w:r w:rsidR="577B92FC">
        <w:t>important,</w:t>
      </w:r>
      <w:r w:rsidR="325B9DE3">
        <w:t xml:space="preserve"> the association will plan for the next 5 years. </w:t>
      </w:r>
    </w:p>
    <w:p w14:paraId="2818C070" w14:textId="77777777" w:rsidR="002C1848" w:rsidRDefault="001621A5">
      <w:r>
        <w:t xml:space="preserve">Vice Chair, Ryan </w:t>
      </w:r>
      <w:proofErr w:type="spellStart"/>
      <w:r>
        <w:t>Hochmiller</w:t>
      </w:r>
      <w:proofErr w:type="spellEnd"/>
      <w:r>
        <w:t xml:space="preserve">, </w:t>
      </w:r>
      <w:r w:rsidR="704A5ACC">
        <w:t>focused on getting the meetings back on track with the upcoming Spring Meeting.</w:t>
      </w:r>
      <w:r w:rsidR="284F1AC0">
        <w:t xml:space="preserve"> The fall meeting was about to get underway and </w:t>
      </w:r>
      <w:r w:rsidR="368D6DFF">
        <w:t xml:space="preserve">there were </w:t>
      </w:r>
      <w:r w:rsidR="284F1AC0">
        <w:t>no significant health changes due to Covid</w:t>
      </w:r>
      <w:r w:rsidR="36C2C8B3">
        <w:t xml:space="preserve">. </w:t>
      </w:r>
    </w:p>
    <w:p w14:paraId="6C8E6AA1" w14:textId="5E398B43" w:rsidR="00494352" w:rsidRDefault="001621A5">
      <w:r>
        <w:br w:type="page"/>
      </w:r>
    </w:p>
    <w:p w14:paraId="63E60CBF" w14:textId="2E0D684C" w:rsidR="00494352" w:rsidRPr="002106E9" w:rsidRDefault="00494352" w:rsidP="00494352">
      <w:pPr>
        <w:keepNext/>
        <w:keepLines/>
        <w:spacing w:after="3700" w:line="240" w:lineRule="auto"/>
        <w:contextualSpacing/>
        <w:outlineLvl w:val="0"/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</w:pPr>
      <w:bookmarkStart w:id="2" w:name="_Toc89702049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Operational</w:t>
      </w:r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  <w:r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t>Update</w:t>
      </w:r>
      <w:bookmarkEnd w:id="2"/>
    </w:p>
    <w:p w14:paraId="12A232B3" w14:textId="2A9BF581" w:rsidR="005441A6" w:rsidRDefault="005441A6" w:rsidP="740BA85D">
      <w:pPr>
        <w:rPr>
          <w:sz w:val="2"/>
          <w:szCs w:val="2"/>
        </w:rPr>
      </w:pPr>
    </w:p>
    <w:p w14:paraId="5B151E3D" w14:textId="2394813E" w:rsidR="008D65F5" w:rsidRDefault="008D65F5" w:rsidP="008D65F5">
      <w:pPr>
        <w:pStyle w:val="Heading2"/>
      </w:pPr>
      <w:bookmarkStart w:id="3" w:name="_Toc89702050"/>
      <w:r>
        <w:t xml:space="preserve">2020 Fall </w:t>
      </w:r>
      <w:r w:rsidR="00445107">
        <w:t>(Phoenix, AZ)</w:t>
      </w:r>
      <w:bookmarkEnd w:id="3"/>
    </w:p>
    <w:p w14:paraId="2B81D3BC" w14:textId="76D05021" w:rsidR="0070547D" w:rsidRDefault="0070547D" w:rsidP="0070547D">
      <w:r>
        <w:t xml:space="preserve">Cancelled. The venue was postponed until </w:t>
      </w:r>
      <w:r w:rsidR="002C5C7A">
        <w:t xml:space="preserve">October </w:t>
      </w:r>
      <w:r w:rsidR="002D1EBC">
        <w:t>6-8, 2022</w:t>
      </w:r>
      <w:r w:rsidR="00EA49DA">
        <w:t>.</w:t>
      </w:r>
    </w:p>
    <w:p w14:paraId="33BCC09F" w14:textId="3C6F4B5F" w:rsidR="006B7D91" w:rsidRDefault="006B7D91" w:rsidP="006B7D91">
      <w:pPr>
        <w:pStyle w:val="Heading2"/>
      </w:pPr>
      <w:bookmarkStart w:id="4" w:name="_Toc89702051"/>
      <w:r>
        <w:t>2021 Spring</w:t>
      </w:r>
      <w:r w:rsidR="00445107">
        <w:t xml:space="preserve"> (Cin</w:t>
      </w:r>
      <w:r w:rsidR="002130E8">
        <w:t>cinnati, OH)</w:t>
      </w:r>
      <w:bookmarkEnd w:id="4"/>
    </w:p>
    <w:p w14:paraId="50161E35" w14:textId="487620AC" w:rsidR="00CF1CC4" w:rsidRDefault="00CF1CC4" w:rsidP="00CF1CC4">
      <w:r>
        <w:t>Cancelled. The venue was postponed until April 13-15, 2022</w:t>
      </w:r>
      <w:r w:rsidR="00EA49DA">
        <w:t>.</w:t>
      </w:r>
    </w:p>
    <w:p w14:paraId="51742EC7" w14:textId="79B413C5" w:rsidR="006014BA" w:rsidRPr="006014BA" w:rsidRDefault="006014BA" w:rsidP="008D65F5">
      <w:pPr>
        <w:rPr>
          <w:b/>
          <w:bCs/>
          <w:sz w:val="56"/>
          <w:szCs w:val="56"/>
        </w:rPr>
      </w:pPr>
      <w:r w:rsidRPr="740BA85D">
        <w:rPr>
          <w:b/>
          <w:bCs/>
          <w:sz w:val="56"/>
          <w:szCs w:val="56"/>
        </w:rPr>
        <w:t>Upcoming Meetings</w:t>
      </w:r>
    </w:p>
    <w:p w14:paraId="593FEAD0" w14:textId="6E20EB2C" w:rsidR="00EA49DA" w:rsidRDefault="00EA49DA" w:rsidP="00EA49DA">
      <w:pPr>
        <w:pStyle w:val="Heading2"/>
      </w:pPr>
      <w:bookmarkStart w:id="5" w:name="_Toc89702052"/>
      <w:r>
        <w:t>2022 Spring (Cincinnati, OH)</w:t>
      </w:r>
      <w:bookmarkEnd w:id="5"/>
    </w:p>
    <w:p w14:paraId="0420199D" w14:textId="01196FCE" w:rsidR="00EA49DA" w:rsidRDefault="00EA49DA" w:rsidP="00EA49DA">
      <w:r>
        <w:t>Space has been reserved at The Ne</w:t>
      </w:r>
      <w:r w:rsidR="009A0AFF">
        <w:t>th</w:t>
      </w:r>
      <w:r>
        <w:t>erland</w:t>
      </w:r>
      <w:r w:rsidR="009A0AFF">
        <w:t xml:space="preserve"> Hilton</w:t>
      </w:r>
      <w:r>
        <w:t xml:space="preserve">, </w:t>
      </w:r>
      <w:r w:rsidR="009A0AFF">
        <w:t>Cincinnati</w:t>
      </w:r>
      <w:r>
        <w:t xml:space="preserve">, </w:t>
      </w:r>
      <w:r w:rsidR="009A0AFF">
        <w:t>OH</w:t>
      </w:r>
      <w:r>
        <w:t xml:space="preserve">. Dates: </w:t>
      </w:r>
      <w:r w:rsidR="009D6832">
        <w:t>April</w:t>
      </w:r>
      <w:r>
        <w:t xml:space="preserve"> 1</w:t>
      </w:r>
      <w:r w:rsidR="00596BFE">
        <w:t>3</w:t>
      </w:r>
      <w:r>
        <w:t>-1</w:t>
      </w:r>
      <w:r w:rsidR="00716E28">
        <w:t>5</w:t>
      </w:r>
      <w:r>
        <w:t>, 202</w:t>
      </w:r>
      <w:r w:rsidR="00716E28">
        <w:t>2</w:t>
      </w:r>
      <w:r>
        <w:t>.</w:t>
      </w:r>
    </w:p>
    <w:p w14:paraId="3A15527D" w14:textId="41682AF1" w:rsidR="00D84B4B" w:rsidRDefault="00D84B4B" w:rsidP="00D84B4B">
      <w:pPr>
        <w:pStyle w:val="Heading2"/>
      </w:pPr>
      <w:bookmarkStart w:id="6" w:name="_Toc89702053"/>
      <w:r>
        <w:t>2022 Fall (Phoenix, AZ)</w:t>
      </w:r>
      <w:bookmarkEnd w:id="6"/>
    </w:p>
    <w:p w14:paraId="57B78729" w14:textId="1CC78869" w:rsidR="000D33C7" w:rsidRDefault="00D84B4B" w:rsidP="008D65F5">
      <w:r>
        <w:t xml:space="preserve">Space has been reserved at The Wigwam, Phoenix, AZ. Dates: October </w:t>
      </w:r>
      <w:r w:rsidR="008054B4">
        <w:t>6</w:t>
      </w:r>
      <w:r>
        <w:t>-</w:t>
      </w:r>
      <w:r w:rsidR="008054B4">
        <w:t>8</w:t>
      </w:r>
      <w:r>
        <w:t>, 202</w:t>
      </w:r>
      <w:r w:rsidR="008054B4">
        <w:t>2</w:t>
      </w:r>
      <w:r>
        <w:t>.</w:t>
      </w:r>
      <w:r w:rsidR="000D33C7">
        <w:br w:type="page"/>
      </w:r>
    </w:p>
    <w:p w14:paraId="16688A0E" w14:textId="3759D3A4" w:rsidR="000D33C7" w:rsidRPr="002106E9" w:rsidRDefault="000D33C7" w:rsidP="000D33C7">
      <w:pPr>
        <w:keepNext/>
        <w:keepLines/>
        <w:spacing w:after="3700" w:line="240" w:lineRule="auto"/>
        <w:contextualSpacing/>
        <w:outlineLvl w:val="0"/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</w:pPr>
      <w:bookmarkStart w:id="7" w:name="_Toc89702054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Membership</w:t>
      </w:r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  <w:r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t>Update</w:t>
      </w:r>
      <w:bookmarkEnd w:id="7"/>
    </w:p>
    <w:p w14:paraId="5545D9BE" w14:textId="1E27587B" w:rsidR="000D33C7" w:rsidRDefault="000D33C7" w:rsidP="00A00758"/>
    <w:p w14:paraId="407D5DC1" w14:textId="283363EF" w:rsidR="009243ED" w:rsidRDefault="009243ED" w:rsidP="009243ED">
      <w:pPr>
        <w:pStyle w:val="Heading2"/>
      </w:pPr>
      <w:bookmarkStart w:id="8" w:name="_Toc89702055"/>
      <w:r>
        <w:t>Current Membership</w:t>
      </w:r>
      <w:bookmarkEnd w:id="8"/>
    </w:p>
    <w:p w14:paraId="36E242CE" w14:textId="0D357607" w:rsidR="000D33C7" w:rsidRDefault="00247870" w:rsidP="14C9379F">
      <w:pPr>
        <w:jc w:val="center"/>
        <w:rPr>
          <w:rFonts w:ascii="Verdana" w:eastAsia="Verdana" w:hAnsi="Verdana" w:cs="Verdana"/>
          <w:color w:val="000000" w:themeColor="text1"/>
        </w:rPr>
      </w:pPr>
      <w:r>
        <w:rPr>
          <w:noProof/>
        </w:rPr>
        <w:drawing>
          <wp:inline distT="0" distB="0" distL="0" distR="0" wp14:anchorId="56FDB34C" wp14:editId="5DD452C2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EA43712-0854-460D-83E8-6364EBE76A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FC4DDD" w14:textId="5F72AA08" w:rsidR="14C9379F" w:rsidRDefault="14C9379F" w:rsidP="14C9379F">
      <w:pPr>
        <w:jc w:val="center"/>
        <w:rPr>
          <w:rFonts w:ascii="Verdana" w:eastAsia="Verdana" w:hAnsi="Verdana" w:cs="Verdana"/>
          <w:color w:val="000000" w:themeColor="text1"/>
        </w:rPr>
      </w:pPr>
    </w:p>
    <w:p w14:paraId="6B28176F" w14:textId="2A9697A2" w:rsidR="000D33C7" w:rsidRDefault="009243ED" w:rsidP="00A00758">
      <w:r>
        <w:t>*</w:t>
      </w:r>
      <w:r w:rsidR="00232B08">
        <w:t>20</w:t>
      </w:r>
      <w:r w:rsidR="002E1C17">
        <w:t>2</w:t>
      </w:r>
      <w:r w:rsidR="00247870">
        <w:t>1</w:t>
      </w:r>
      <w:r w:rsidR="00232B08">
        <w:t xml:space="preserve"> a</w:t>
      </w:r>
      <w:r>
        <w:t xml:space="preserve">s of </w:t>
      </w:r>
      <w:r w:rsidR="00247870">
        <w:t>Fall</w:t>
      </w:r>
      <w:r w:rsidR="00492350">
        <w:t xml:space="preserve"> </w:t>
      </w:r>
      <w:r>
        <w:t>Meeting</w:t>
      </w:r>
    </w:p>
    <w:p w14:paraId="0F8BE9EC" w14:textId="1D9ECC25" w:rsidR="00047CDB" w:rsidRDefault="00047CDB">
      <w:r>
        <w:br w:type="page"/>
      </w:r>
    </w:p>
    <w:p w14:paraId="700A7A89" w14:textId="77777777" w:rsidR="000D33C7" w:rsidRDefault="000D33C7" w:rsidP="00A00758"/>
    <w:p w14:paraId="1902865D" w14:textId="53B45AFA" w:rsidR="009243ED" w:rsidRDefault="0032638D" w:rsidP="009243ED">
      <w:pPr>
        <w:pStyle w:val="Heading2"/>
      </w:pPr>
      <w:bookmarkStart w:id="9" w:name="_Toc89702056"/>
      <w:r>
        <w:t>20</w:t>
      </w:r>
      <w:r w:rsidR="00F20BF8">
        <w:t>2</w:t>
      </w:r>
      <w:r w:rsidR="00B56C79">
        <w:t>1</w:t>
      </w:r>
      <w:r>
        <w:t xml:space="preserve"> A</w:t>
      </w:r>
      <w:r w:rsidR="009243ED">
        <w:t>dditions</w:t>
      </w:r>
      <w:bookmarkEnd w:id="9"/>
    </w:p>
    <w:p w14:paraId="7D9942F8" w14:textId="3FBA3978" w:rsidR="00DA7E87" w:rsidRDefault="00CB35F9">
      <w:r>
        <w:t>SRC Holdings</w:t>
      </w:r>
      <w:r w:rsidR="00DA7E87">
        <w:br/>
      </w:r>
      <w:r>
        <w:t>My Little Salesman</w:t>
      </w:r>
      <w:r w:rsidR="00705978">
        <w:br/>
      </w:r>
      <w:proofErr w:type="spellStart"/>
      <w:r w:rsidR="00705978">
        <w:t>Trucktech</w:t>
      </w:r>
      <w:proofErr w:type="spellEnd"/>
      <w:r w:rsidR="00705978">
        <w:t xml:space="preserve"> Parts &amp; Service Inc.</w:t>
      </w:r>
    </w:p>
    <w:p w14:paraId="67D211A7" w14:textId="77777777" w:rsidR="00CB35F9" w:rsidRDefault="00CB35F9"/>
    <w:p w14:paraId="269A3F4D" w14:textId="77777777" w:rsidR="009243ED" w:rsidRDefault="009243ED" w:rsidP="009243ED"/>
    <w:p w14:paraId="7576B71B" w14:textId="13B0C7B7" w:rsidR="009243ED" w:rsidRDefault="009243ED" w:rsidP="009243ED">
      <w:pPr>
        <w:pStyle w:val="Heading2"/>
      </w:pPr>
      <w:bookmarkStart w:id="10" w:name="_Toc89702057"/>
      <w:r>
        <w:t>20</w:t>
      </w:r>
      <w:r w:rsidR="00F20BF8">
        <w:t>2</w:t>
      </w:r>
      <w:r w:rsidR="00705978">
        <w:t>1</w:t>
      </w:r>
      <w:r>
        <w:t xml:space="preserve"> Cancellations</w:t>
      </w:r>
      <w:bookmarkEnd w:id="10"/>
    </w:p>
    <w:p w14:paraId="5E3FC89B" w14:textId="1E9AB33B" w:rsidR="009243ED" w:rsidRDefault="00F62704" w:rsidP="009243ED">
      <w:pPr>
        <w:spacing w:after="0"/>
      </w:pPr>
      <w:r>
        <w:t xml:space="preserve">Gear </w:t>
      </w:r>
      <w:proofErr w:type="spellStart"/>
      <w:r>
        <w:t>Wizzard</w:t>
      </w:r>
      <w:proofErr w:type="spellEnd"/>
      <w:r w:rsidR="00350518">
        <w:t xml:space="preserve"> – </w:t>
      </w:r>
      <w:r>
        <w:t>Not in business</w:t>
      </w:r>
    </w:p>
    <w:p w14:paraId="4E52B5B6" w14:textId="6E1E7AF7" w:rsidR="009243ED" w:rsidRDefault="00F62704" w:rsidP="009243ED">
      <w:pPr>
        <w:spacing w:after="0"/>
      </w:pPr>
      <w:r>
        <w:t xml:space="preserve">Bray Truck and Parts </w:t>
      </w:r>
      <w:r w:rsidR="009243ED">
        <w:t xml:space="preserve">– </w:t>
      </w:r>
      <w:r>
        <w:t>Isn’t in parts business anymore</w:t>
      </w:r>
    </w:p>
    <w:p w14:paraId="7310EB85" w14:textId="149DB04B" w:rsidR="00350518" w:rsidRDefault="00871C02" w:rsidP="009243ED">
      <w:pPr>
        <w:spacing w:after="0"/>
      </w:pPr>
      <w:r>
        <w:t xml:space="preserve">Berryhill Auctioneers </w:t>
      </w:r>
      <w:r w:rsidR="00602D30">
        <w:t>–</w:t>
      </w:r>
      <w:r w:rsidR="00350518">
        <w:t xml:space="preserve"> </w:t>
      </w:r>
      <w:r>
        <w:t>Not renewing</w:t>
      </w:r>
    </w:p>
    <w:p w14:paraId="4C7DABAD" w14:textId="50E12D4E" w:rsidR="00243738" w:rsidRDefault="00BB5770" w:rsidP="009243ED">
      <w:pPr>
        <w:spacing w:after="0"/>
      </w:pPr>
      <w:r>
        <w:t xml:space="preserve">Arthur </w:t>
      </w:r>
      <w:proofErr w:type="spellStart"/>
      <w:r>
        <w:t>Trovie</w:t>
      </w:r>
      <w:proofErr w:type="spellEnd"/>
      <w:r w:rsidR="00243738">
        <w:t xml:space="preserve"> – </w:t>
      </w:r>
      <w:r>
        <w:t>Not renewing</w:t>
      </w:r>
      <w:r w:rsidR="00243738">
        <w:br/>
      </w:r>
      <w:proofErr w:type="spellStart"/>
      <w:r>
        <w:t>TriPower</w:t>
      </w:r>
      <w:proofErr w:type="spellEnd"/>
      <w:r w:rsidR="00B55286">
        <w:t xml:space="preserve"> </w:t>
      </w:r>
      <w:r w:rsidR="004E5157">
        <w:t>–</w:t>
      </w:r>
      <w:r w:rsidR="00B55286">
        <w:t xml:space="preserve"> </w:t>
      </w:r>
      <w:r>
        <w:t>Not in parts business anymore</w:t>
      </w:r>
      <w:r w:rsidR="006F14D5">
        <w:br/>
        <w:t>Ohio Truck Parts – Not renewing</w:t>
      </w:r>
      <w:r w:rsidR="00B55286">
        <w:br/>
      </w:r>
    </w:p>
    <w:p w14:paraId="68024394" w14:textId="77777777" w:rsidR="00047CDB" w:rsidRDefault="00047CDB" w:rsidP="00047CDB"/>
    <w:p w14:paraId="417E48EB" w14:textId="77777777" w:rsidR="00047CDB" w:rsidRDefault="00047CDB" w:rsidP="00047CDB"/>
    <w:p w14:paraId="233068C1" w14:textId="35BADEB1" w:rsidR="00047CDB" w:rsidRDefault="00047CDB">
      <w:r>
        <w:br w:type="page"/>
      </w:r>
    </w:p>
    <w:p w14:paraId="090BF4D5" w14:textId="65B857C8" w:rsidR="00047CDB" w:rsidRPr="002106E9" w:rsidRDefault="00047CDB" w:rsidP="00047CDB">
      <w:pPr>
        <w:keepNext/>
        <w:keepLines/>
        <w:spacing w:after="3700" w:line="240" w:lineRule="auto"/>
        <w:contextualSpacing/>
        <w:outlineLvl w:val="0"/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</w:pPr>
      <w:bookmarkStart w:id="11" w:name="_Toc89702058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Financial</w:t>
      </w:r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  <w:r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t>Update</w:t>
      </w:r>
      <w:bookmarkEnd w:id="11"/>
    </w:p>
    <w:p w14:paraId="1CDF6F4D" w14:textId="5EFBB795" w:rsidR="00FC6973" w:rsidRDefault="00FC6973"/>
    <w:p w14:paraId="24C875CE" w14:textId="72639CD1" w:rsidR="00395C7D" w:rsidRDefault="00395C7D" w:rsidP="00AD30D3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18"/>
          <w:szCs w:val="18"/>
          <w:lang w:val="en-CA"/>
        </w:rPr>
      </w:pPr>
    </w:p>
    <w:p w14:paraId="19B530E6" w14:textId="7283ED44" w:rsidR="004F016F" w:rsidRDefault="004F016F" w:rsidP="00395C7D"/>
    <w:p w14:paraId="7C1ABFCC" w14:textId="0DB5BCE0" w:rsidR="00FC6973" w:rsidRDefault="00FC6973" w:rsidP="00395C7D">
      <w:r>
        <w:br w:type="page"/>
      </w:r>
    </w:p>
    <w:p w14:paraId="07F08F6F" w14:textId="6FD8A427" w:rsidR="005563A4" w:rsidRDefault="00A97E63" w:rsidP="00FC6973">
      <w:pPr>
        <w:pStyle w:val="Heading2"/>
        <w:rPr>
          <w:rFonts w:eastAsiaTheme="majorEastAsia"/>
          <w:iCs/>
          <w:color w:val="0070C0"/>
          <w:sz w:val="90"/>
          <w:szCs w:val="32"/>
        </w:rPr>
      </w:pPr>
      <w:bookmarkStart w:id="12" w:name="_Toc6565708"/>
      <w:bookmarkStart w:id="13" w:name="_Toc89702059"/>
      <w:bookmarkStart w:id="14" w:name="_Toc70944837"/>
      <w:r>
        <w:rPr>
          <w:noProof/>
        </w:rPr>
        <w:lastRenderedPageBreak/>
        <w:drawing>
          <wp:inline distT="0" distB="0" distL="0" distR="0" wp14:anchorId="7EEBA9B4" wp14:editId="3E407617">
            <wp:extent cx="5486400" cy="708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75C">
        <w:rPr>
          <w:noProof/>
        </w:rPr>
        <w:lastRenderedPageBreak/>
        <w:drawing>
          <wp:inline distT="0" distB="0" distL="0" distR="0" wp14:anchorId="47BA2F8E" wp14:editId="22BC235B">
            <wp:extent cx="5486400" cy="7086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9DE">
        <w:rPr>
          <w:noProof/>
        </w:rPr>
        <w:lastRenderedPageBreak/>
        <w:drawing>
          <wp:inline distT="0" distB="0" distL="0" distR="0" wp14:anchorId="38F9E17F" wp14:editId="36CCF4D0">
            <wp:extent cx="5486400" cy="7086600"/>
            <wp:effectExtent l="0" t="0" r="0" b="0"/>
            <wp:docPr id="6" name="Picture 6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bookmarkEnd w:id="13"/>
      <w:r w:rsidR="002879EE" w:rsidRPr="002879EE">
        <w:rPr>
          <w:rFonts w:eastAsiaTheme="majorEastAsia"/>
          <w:iCs/>
          <w:color w:val="0070C0"/>
          <w:sz w:val="90"/>
          <w:szCs w:val="32"/>
        </w:rPr>
        <w:t xml:space="preserve"> </w:t>
      </w:r>
    </w:p>
    <w:p w14:paraId="5477A291" w14:textId="77777777" w:rsidR="005563A4" w:rsidRDefault="005563A4">
      <w:pP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</w:pPr>
      <w:r>
        <w:rPr>
          <w:rFonts w:eastAsiaTheme="majorEastAsia"/>
          <w:iCs/>
          <w:color w:val="0070C0"/>
          <w:sz w:val="90"/>
          <w:szCs w:val="32"/>
        </w:rPr>
        <w:br w:type="page"/>
      </w:r>
    </w:p>
    <w:p w14:paraId="057F07BF" w14:textId="6413A2E9" w:rsidR="00FC6973" w:rsidRDefault="00FA203D" w:rsidP="00FC6973">
      <w:pPr>
        <w:pStyle w:val="Heading2"/>
      </w:pPr>
      <w:bookmarkStart w:id="15" w:name="_Toc8970206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2F3F7B0" wp14:editId="605DA1A1">
            <wp:simplePos x="0" y="0"/>
            <wp:positionH relativeFrom="margin">
              <wp:align>right</wp:align>
            </wp:positionH>
            <wp:positionV relativeFrom="paragraph">
              <wp:posOffset>1362075</wp:posOffset>
            </wp:positionV>
            <wp:extent cx="5486400" cy="46577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9EE">
        <w:rPr>
          <w:rFonts w:eastAsiaTheme="majorEastAsia"/>
          <w:iCs/>
          <w:color w:val="0070C0"/>
          <w:sz w:val="90"/>
          <w:szCs w:val="32"/>
        </w:rPr>
        <w:t>Sponsors</w:t>
      </w:r>
      <w:bookmarkEnd w:id="14"/>
      <w:bookmarkEnd w:id="15"/>
    </w:p>
    <w:p w14:paraId="6F3D5752" w14:textId="030E874B" w:rsidR="007E66F3" w:rsidRDefault="007E66F3" w:rsidP="00047CDB"/>
    <w:p w14:paraId="57BB1F43" w14:textId="175ED78A" w:rsidR="00FC6973" w:rsidRPr="00B42E0E" w:rsidRDefault="001200AB" w:rsidP="0095232C">
      <w:pPr>
        <w:spacing w:after="0"/>
        <w:rPr>
          <w:sz w:val="20"/>
          <w:szCs w:val="20"/>
        </w:rPr>
      </w:pPr>
      <w:r w:rsidRPr="00B42E0E">
        <w:rPr>
          <w:sz w:val="20"/>
          <w:szCs w:val="20"/>
        </w:rPr>
        <w:t>S</w:t>
      </w:r>
      <w:r w:rsidR="00FC6973" w:rsidRPr="00B42E0E">
        <w:rPr>
          <w:sz w:val="20"/>
          <w:szCs w:val="20"/>
        </w:rPr>
        <w:t xml:space="preserve">ponsors </w:t>
      </w:r>
      <w:r w:rsidR="007E66F3" w:rsidRPr="00B42E0E">
        <w:rPr>
          <w:sz w:val="20"/>
          <w:szCs w:val="20"/>
        </w:rPr>
        <w:t xml:space="preserve">are </w:t>
      </w:r>
      <w:r w:rsidR="002B3C34" w:rsidRPr="00B42E0E">
        <w:rPr>
          <w:sz w:val="20"/>
          <w:szCs w:val="20"/>
        </w:rPr>
        <w:t xml:space="preserve">an </w:t>
      </w:r>
      <w:r w:rsidR="007E66F3" w:rsidRPr="00B42E0E">
        <w:rPr>
          <w:sz w:val="20"/>
          <w:szCs w:val="20"/>
        </w:rPr>
        <w:t xml:space="preserve">important </w:t>
      </w:r>
      <w:r w:rsidR="002B3C34" w:rsidRPr="00B42E0E">
        <w:rPr>
          <w:sz w:val="20"/>
          <w:szCs w:val="20"/>
        </w:rPr>
        <w:t>part of</w:t>
      </w:r>
      <w:r w:rsidR="007E66F3" w:rsidRPr="00B42E0E">
        <w:rPr>
          <w:sz w:val="20"/>
          <w:szCs w:val="20"/>
        </w:rPr>
        <w:t xml:space="preserve"> the ITPA budget. They </w:t>
      </w:r>
      <w:r w:rsidR="00FC6973" w:rsidRPr="00B42E0E">
        <w:rPr>
          <w:sz w:val="20"/>
          <w:szCs w:val="20"/>
        </w:rPr>
        <w:t>contribute $1000 per meeting.</w:t>
      </w:r>
    </w:p>
    <w:p w14:paraId="2C7F8B25" w14:textId="58E499D9" w:rsidR="0095232C" w:rsidRPr="00E11A3D" w:rsidRDefault="0095232C" w:rsidP="0095232C">
      <w:pPr>
        <w:spacing w:after="0"/>
        <w:rPr>
          <w:sz w:val="16"/>
          <w:szCs w:val="16"/>
        </w:rPr>
      </w:pPr>
    </w:p>
    <w:p w14:paraId="17753FB4" w14:textId="116B9B32" w:rsidR="007E66F3" w:rsidRDefault="007E66F3" w:rsidP="00B42E0E">
      <w:pPr>
        <w:spacing w:line="240" w:lineRule="auto"/>
      </w:pPr>
      <w:r>
        <w:br w:type="page"/>
      </w:r>
    </w:p>
    <w:p w14:paraId="27A53F66" w14:textId="4865A19B" w:rsidR="00FC6973" w:rsidRDefault="007E66F3" w:rsidP="007E66F3">
      <w:pPr>
        <w:keepNext/>
        <w:keepLines/>
        <w:spacing w:line="240" w:lineRule="auto"/>
        <w:contextualSpacing/>
        <w:outlineLvl w:val="0"/>
      </w:pPr>
      <w:bookmarkStart w:id="16" w:name="_Toc89702061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Governance</w:t>
      </w:r>
      <w:bookmarkEnd w:id="16"/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</w:p>
    <w:p w14:paraId="6E0A1826" w14:textId="59B35187" w:rsidR="006379F1" w:rsidRPr="008D0C90" w:rsidRDefault="006379F1" w:rsidP="006379F1">
      <w:pPr>
        <w:pStyle w:val="Heading2"/>
        <w:rPr>
          <w:sz w:val="26"/>
        </w:rPr>
      </w:pPr>
      <w:bookmarkStart w:id="17" w:name="_Toc89702062"/>
      <w:r w:rsidRPr="008D0C90">
        <w:rPr>
          <w:sz w:val="26"/>
        </w:rPr>
        <w:t xml:space="preserve">ITPA Board of </w:t>
      </w:r>
      <w:r w:rsidR="00EA6725">
        <w:rPr>
          <w:sz w:val="26"/>
        </w:rPr>
        <w:t>D</w:t>
      </w:r>
      <w:r w:rsidRPr="008D0C90">
        <w:rPr>
          <w:sz w:val="26"/>
        </w:rPr>
        <w:t>irectors</w:t>
      </w:r>
      <w:bookmarkEnd w:id="17"/>
    </w:p>
    <w:p w14:paraId="78140F83" w14:textId="091C2D77" w:rsidR="003B7996" w:rsidRPr="008D0C90" w:rsidRDefault="003B7996" w:rsidP="14C9379F">
      <w:pPr>
        <w:widowControl w:val="0"/>
        <w:spacing w:line="240" w:lineRule="auto"/>
        <w:ind w:left="360" w:hanging="360"/>
        <w:rPr>
          <w:rFonts w:asciiTheme="majorHAnsi" w:hAnsiTheme="majorHAnsi"/>
          <w:sz w:val="26"/>
          <w:szCs w:val="26"/>
        </w:rPr>
      </w:pP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  <w:t>Rudy Niswanger</w:t>
      </w: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  <w:t>Second Term ending Oct 202</w:t>
      </w:r>
      <w:r w:rsidR="04E1B26D" w:rsidRPr="008D0C90">
        <w:rPr>
          <w:rFonts w:asciiTheme="majorHAnsi" w:hAnsiTheme="majorHAnsi"/>
          <w:sz w:val="26"/>
          <w:szCs w:val="26"/>
        </w:rPr>
        <w:t>3</w:t>
      </w:r>
    </w:p>
    <w:p w14:paraId="34A40FFF" w14:textId="260DDD37" w:rsidR="003B7996" w:rsidRPr="008D0C90" w:rsidRDefault="003B7996" w:rsidP="14C9379F">
      <w:pPr>
        <w:widowControl w:val="0"/>
        <w:spacing w:line="240" w:lineRule="auto"/>
        <w:ind w:left="360" w:hanging="360"/>
        <w:rPr>
          <w:rFonts w:asciiTheme="majorHAnsi" w:hAnsiTheme="majorHAnsi"/>
          <w:sz w:val="26"/>
          <w:szCs w:val="26"/>
        </w:rPr>
      </w:pP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  <w:t>Andy Mundy</w:t>
      </w: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</w:r>
      <w:r w:rsidR="00B42E0E"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>Second Term ending Oct 202</w:t>
      </w:r>
      <w:r w:rsidR="277C05A2" w:rsidRPr="008D0C90">
        <w:rPr>
          <w:rFonts w:asciiTheme="majorHAnsi" w:hAnsiTheme="majorHAnsi"/>
          <w:sz w:val="26"/>
          <w:szCs w:val="26"/>
        </w:rPr>
        <w:t>2</w:t>
      </w:r>
    </w:p>
    <w:p w14:paraId="150689C6" w14:textId="67AD5224" w:rsidR="003B7996" w:rsidRPr="008D0C90" w:rsidRDefault="003B7996" w:rsidP="14C9379F">
      <w:pPr>
        <w:widowControl w:val="0"/>
        <w:spacing w:line="240" w:lineRule="auto"/>
        <w:ind w:left="360" w:hanging="360"/>
        <w:rPr>
          <w:rFonts w:asciiTheme="majorHAnsi" w:hAnsiTheme="majorHAnsi"/>
          <w:sz w:val="26"/>
          <w:szCs w:val="26"/>
        </w:rPr>
      </w:pP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  <w:t>Sarah Barber</w:t>
      </w: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</w:r>
      <w:r w:rsidR="00B42E0E"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>Second Term ending Oct 202</w:t>
      </w:r>
      <w:r w:rsidR="523EFF41" w:rsidRPr="008D0C90">
        <w:rPr>
          <w:rFonts w:asciiTheme="majorHAnsi" w:hAnsiTheme="majorHAnsi"/>
          <w:sz w:val="26"/>
          <w:szCs w:val="26"/>
        </w:rPr>
        <w:t>3</w:t>
      </w:r>
    </w:p>
    <w:p w14:paraId="36E02621" w14:textId="03E25589" w:rsidR="003B7996" w:rsidRPr="008D0C90" w:rsidRDefault="003B7996" w:rsidP="14C9379F">
      <w:pPr>
        <w:widowControl w:val="0"/>
        <w:spacing w:line="240" w:lineRule="auto"/>
        <w:ind w:left="360" w:hanging="360"/>
        <w:rPr>
          <w:rFonts w:asciiTheme="majorHAnsi" w:hAnsiTheme="majorHAnsi"/>
          <w:sz w:val="26"/>
          <w:szCs w:val="26"/>
        </w:rPr>
      </w:pP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  <w:t xml:space="preserve">Ryan </w:t>
      </w:r>
      <w:proofErr w:type="spellStart"/>
      <w:r w:rsidRPr="008D0C90">
        <w:rPr>
          <w:rFonts w:asciiTheme="majorHAnsi" w:hAnsiTheme="majorHAnsi"/>
          <w:sz w:val="26"/>
          <w:szCs w:val="26"/>
        </w:rPr>
        <w:t>Hochmiller</w:t>
      </w:r>
      <w:proofErr w:type="spellEnd"/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  <w:t>First Term ending Oct 202</w:t>
      </w:r>
      <w:r w:rsidR="1E695B43" w:rsidRPr="008D0C90">
        <w:rPr>
          <w:rFonts w:asciiTheme="majorHAnsi" w:hAnsiTheme="majorHAnsi"/>
          <w:sz w:val="26"/>
          <w:szCs w:val="26"/>
        </w:rPr>
        <w:t>2</w:t>
      </w:r>
    </w:p>
    <w:p w14:paraId="5023987A" w14:textId="486DE1DD" w:rsidR="003B7996" w:rsidRPr="008D0C90" w:rsidRDefault="003B7996" w:rsidP="14C9379F">
      <w:pPr>
        <w:widowControl w:val="0"/>
        <w:spacing w:line="240" w:lineRule="auto"/>
        <w:ind w:left="360" w:hanging="360"/>
        <w:rPr>
          <w:rFonts w:asciiTheme="majorHAnsi" w:hAnsiTheme="majorHAnsi"/>
          <w:sz w:val="26"/>
          <w:szCs w:val="26"/>
        </w:rPr>
      </w:pP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  <w:t>Scott Liber</w:t>
      </w: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  <w:t>First Term ending Oct 202</w:t>
      </w:r>
      <w:r w:rsidR="201BA43C" w:rsidRPr="008D0C90">
        <w:rPr>
          <w:rFonts w:asciiTheme="majorHAnsi" w:hAnsiTheme="majorHAnsi"/>
          <w:sz w:val="26"/>
          <w:szCs w:val="26"/>
        </w:rPr>
        <w:t>2</w:t>
      </w:r>
    </w:p>
    <w:p w14:paraId="7DA5D798" w14:textId="108E8FA4" w:rsidR="003B7996" w:rsidRPr="008D0C90" w:rsidRDefault="003B7996" w:rsidP="14C9379F">
      <w:pPr>
        <w:widowControl w:val="0"/>
        <w:spacing w:line="240" w:lineRule="auto"/>
        <w:ind w:left="360" w:hanging="360"/>
        <w:rPr>
          <w:rFonts w:asciiTheme="majorHAnsi" w:hAnsiTheme="majorHAnsi"/>
          <w:sz w:val="26"/>
          <w:szCs w:val="26"/>
        </w:rPr>
      </w:pP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</w:r>
      <w:r w:rsidR="201BA43C" w:rsidRPr="008D0C90">
        <w:rPr>
          <w:rFonts w:asciiTheme="majorHAnsi" w:hAnsiTheme="majorHAnsi"/>
          <w:sz w:val="26"/>
          <w:szCs w:val="26"/>
        </w:rPr>
        <w:t xml:space="preserve">Corey George (Filling </w:t>
      </w:r>
      <w:r w:rsidRPr="008D0C90">
        <w:rPr>
          <w:rFonts w:asciiTheme="majorHAnsi" w:hAnsiTheme="majorHAnsi"/>
          <w:sz w:val="26"/>
          <w:szCs w:val="26"/>
        </w:rPr>
        <w:t>Mark Harris</w:t>
      </w:r>
      <w:r w:rsidR="06EA5166" w:rsidRPr="008D0C90">
        <w:rPr>
          <w:rFonts w:asciiTheme="majorHAnsi" w:hAnsiTheme="majorHAnsi"/>
          <w:sz w:val="26"/>
          <w:szCs w:val="26"/>
        </w:rPr>
        <w:t xml:space="preserve"> Term)</w:t>
      </w:r>
    </w:p>
    <w:p w14:paraId="009D6E05" w14:textId="787C8539" w:rsidR="003B7996" w:rsidRPr="008D0C90" w:rsidRDefault="003B7996" w:rsidP="14C9379F">
      <w:pPr>
        <w:widowControl w:val="0"/>
        <w:spacing w:line="240" w:lineRule="auto"/>
        <w:ind w:left="720"/>
        <w:rPr>
          <w:rFonts w:asciiTheme="majorHAnsi" w:hAnsiTheme="majorHAnsi"/>
          <w:sz w:val="26"/>
          <w:szCs w:val="26"/>
        </w:rPr>
      </w:pPr>
      <w:r w:rsidRPr="008D0C90">
        <w:rPr>
          <w:rFonts w:asciiTheme="majorHAnsi" w:hAnsiTheme="majorHAnsi"/>
          <w:sz w:val="26"/>
          <w:szCs w:val="26"/>
        </w:rPr>
        <w:t>First Term ending Oct 202</w:t>
      </w:r>
      <w:r w:rsidR="1A393FFA" w:rsidRPr="008D0C90">
        <w:rPr>
          <w:rFonts w:asciiTheme="majorHAnsi" w:hAnsiTheme="majorHAnsi"/>
          <w:sz w:val="26"/>
          <w:szCs w:val="26"/>
        </w:rPr>
        <w:t>3</w:t>
      </w:r>
    </w:p>
    <w:p w14:paraId="3292664C" w14:textId="3D16A46C" w:rsidR="003B7996" w:rsidRPr="008D0C90" w:rsidRDefault="003B7996" w:rsidP="14C9379F">
      <w:pPr>
        <w:widowControl w:val="0"/>
        <w:spacing w:line="240" w:lineRule="auto"/>
        <w:ind w:left="360" w:hanging="360"/>
        <w:rPr>
          <w:rFonts w:asciiTheme="majorHAnsi" w:hAnsiTheme="majorHAnsi"/>
          <w:sz w:val="26"/>
          <w:szCs w:val="26"/>
        </w:rPr>
      </w:pP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  <w:t>Nick Comer</w:t>
      </w: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</w:r>
      <w:r w:rsidRPr="008D0C90">
        <w:rPr>
          <w:rFonts w:asciiTheme="majorHAnsi" w:hAnsiTheme="majorHAnsi"/>
          <w:sz w:val="26"/>
          <w:szCs w:val="26"/>
        </w:rPr>
        <w:tab/>
        <w:t>First Term ending Oct 202</w:t>
      </w:r>
      <w:r w:rsidR="5C5096AB" w:rsidRPr="008D0C90">
        <w:rPr>
          <w:rFonts w:asciiTheme="majorHAnsi" w:hAnsiTheme="majorHAnsi"/>
          <w:sz w:val="26"/>
          <w:szCs w:val="26"/>
        </w:rPr>
        <w:t>3</w:t>
      </w:r>
      <w:r w:rsidR="00E80F7B" w:rsidRPr="008D0C90">
        <w:rPr>
          <w:rFonts w:asciiTheme="majorHAnsi" w:hAnsiTheme="majorHAnsi"/>
          <w:sz w:val="26"/>
          <w:szCs w:val="26"/>
        </w:rPr>
        <w:br/>
      </w:r>
    </w:p>
    <w:p w14:paraId="6D7A17A2" w14:textId="77777777" w:rsidR="003B7996" w:rsidRPr="008D0C90" w:rsidRDefault="003B7996" w:rsidP="003B7996">
      <w:pPr>
        <w:widowControl w:val="0"/>
        <w:ind w:left="360" w:hanging="360"/>
        <w:rPr>
          <w:rFonts w:asciiTheme="majorHAnsi" w:hAnsiTheme="majorHAnsi"/>
          <w:b/>
          <w:bCs/>
          <w:sz w:val="26"/>
          <w:szCs w:val="26"/>
        </w:rPr>
      </w:pPr>
      <w:r w:rsidRPr="008D0C90">
        <w:rPr>
          <w:rFonts w:asciiTheme="majorHAnsi" w:hAnsiTheme="majorHAnsi"/>
          <w:b/>
          <w:bCs/>
          <w:sz w:val="26"/>
          <w:szCs w:val="26"/>
        </w:rPr>
        <w:t>CONVENTION COMMITTEE</w:t>
      </w:r>
    </w:p>
    <w:p w14:paraId="7FE99623" w14:textId="395533E6" w:rsidR="003B7996" w:rsidRPr="008D0C90" w:rsidRDefault="003B7996" w:rsidP="14C9379F">
      <w:pPr>
        <w:widowControl w:val="0"/>
        <w:ind w:left="360" w:hanging="360"/>
        <w:rPr>
          <w:rFonts w:asciiTheme="majorHAnsi" w:hAnsiTheme="majorHAnsi"/>
          <w:sz w:val="26"/>
          <w:szCs w:val="26"/>
        </w:rPr>
      </w:pPr>
      <w:r w:rsidRPr="008D0C90">
        <w:rPr>
          <w:rFonts w:asciiTheme="majorHAnsi" w:hAnsiTheme="majorHAnsi"/>
          <w:sz w:val="26"/>
          <w:szCs w:val="26"/>
        </w:rPr>
        <w:tab/>
        <w:t xml:space="preserve">Ryan </w:t>
      </w:r>
      <w:proofErr w:type="spellStart"/>
      <w:r w:rsidRPr="008D0C90">
        <w:rPr>
          <w:rFonts w:asciiTheme="majorHAnsi" w:hAnsiTheme="majorHAnsi"/>
          <w:sz w:val="26"/>
          <w:szCs w:val="26"/>
        </w:rPr>
        <w:t>Hochmiller</w:t>
      </w:r>
      <w:proofErr w:type="spellEnd"/>
      <w:r w:rsidRPr="008D0C90">
        <w:rPr>
          <w:rFonts w:asciiTheme="majorHAnsi" w:hAnsiTheme="majorHAnsi"/>
          <w:sz w:val="26"/>
          <w:szCs w:val="26"/>
        </w:rPr>
        <w:t xml:space="preserve"> - Comm. Chair; Michelle Walls, Andy Reichert, Mike </w:t>
      </w:r>
      <w:proofErr w:type="spellStart"/>
      <w:r w:rsidRPr="008D0C90">
        <w:rPr>
          <w:rFonts w:asciiTheme="majorHAnsi" w:hAnsiTheme="majorHAnsi"/>
          <w:sz w:val="26"/>
          <w:szCs w:val="26"/>
        </w:rPr>
        <w:t>Zakutny</w:t>
      </w:r>
      <w:proofErr w:type="spellEnd"/>
      <w:r w:rsidRPr="008D0C90">
        <w:rPr>
          <w:rFonts w:asciiTheme="majorHAnsi" w:hAnsiTheme="majorHAnsi"/>
          <w:sz w:val="26"/>
          <w:szCs w:val="26"/>
        </w:rPr>
        <w:t xml:space="preserve">, Michael Chudacoff, Paresh Patel, Jordan Stein, Kyle Forster, Tommy </w:t>
      </w:r>
      <w:proofErr w:type="spellStart"/>
      <w:r w:rsidRPr="008D0C90">
        <w:rPr>
          <w:rFonts w:asciiTheme="majorHAnsi" w:hAnsiTheme="majorHAnsi"/>
          <w:sz w:val="26"/>
          <w:szCs w:val="26"/>
        </w:rPr>
        <w:t>deWildt</w:t>
      </w:r>
      <w:proofErr w:type="spellEnd"/>
      <w:r w:rsidR="462E9421" w:rsidRPr="008D0C90">
        <w:rPr>
          <w:rFonts w:asciiTheme="majorHAnsi" w:hAnsiTheme="majorHAnsi"/>
          <w:sz w:val="26"/>
          <w:szCs w:val="26"/>
        </w:rPr>
        <w:t>, Jordan Adelman</w:t>
      </w:r>
    </w:p>
    <w:p w14:paraId="3F31B952" w14:textId="77777777" w:rsidR="003B7996" w:rsidRPr="008D0C90" w:rsidRDefault="003B7996" w:rsidP="003B7996">
      <w:pPr>
        <w:widowControl w:val="0"/>
        <w:ind w:left="360" w:hanging="360"/>
        <w:rPr>
          <w:rFonts w:asciiTheme="majorHAnsi" w:hAnsiTheme="majorHAnsi"/>
          <w:b/>
          <w:bCs/>
          <w:sz w:val="26"/>
          <w:szCs w:val="26"/>
        </w:rPr>
      </w:pPr>
      <w:r w:rsidRPr="008D0C90">
        <w:rPr>
          <w:rFonts w:asciiTheme="majorHAnsi" w:hAnsiTheme="majorHAnsi"/>
          <w:b/>
          <w:bCs/>
          <w:sz w:val="26"/>
          <w:szCs w:val="26"/>
        </w:rPr>
        <w:t>INVESTMENT COMMITTEE</w:t>
      </w:r>
    </w:p>
    <w:p w14:paraId="719F5B53" w14:textId="77777777" w:rsidR="003B7996" w:rsidRPr="008D0C90" w:rsidRDefault="003B7996" w:rsidP="003B7996">
      <w:pPr>
        <w:widowControl w:val="0"/>
        <w:ind w:left="360" w:hanging="360"/>
        <w:rPr>
          <w:rFonts w:asciiTheme="majorHAnsi" w:hAnsiTheme="majorHAnsi"/>
          <w:sz w:val="26"/>
          <w:szCs w:val="26"/>
        </w:rPr>
      </w:pPr>
      <w:r w:rsidRPr="008D0C90">
        <w:rPr>
          <w:rFonts w:asciiTheme="majorHAnsi" w:hAnsiTheme="majorHAnsi"/>
          <w:sz w:val="26"/>
          <w:szCs w:val="26"/>
        </w:rPr>
        <w:tab/>
        <w:t xml:space="preserve">Ryan </w:t>
      </w:r>
      <w:proofErr w:type="spellStart"/>
      <w:r w:rsidRPr="008D0C90">
        <w:rPr>
          <w:rFonts w:asciiTheme="majorHAnsi" w:hAnsiTheme="majorHAnsi"/>
          <w:sz w:val="26"/>
          <w:szCs w:val="26"/>
        </w:rPr>
        <w:t>Hochmiller</w:t>
      </w:r>
      <w:proofErr w:type="spellEnd"/>
      <w:r w:rsidRPr="008D0C90">
        <w:rPr>
          <w:rFonts w:asciiTheme="majorHAnsi" w:hAnsiTheme="majorHAnsi"/>
          <w:sz w:val="26"/>
          <w:szCs w:val="26"/>
        </w:rPr>
        <w:t xml:space="preserve"> - Committee Chair; Matt Schmidt, Scott Liber</w:t>
      </w:r>
    </w:p>
    <w:p w14:paraId="097F6582" w14:textId="77777777" w:rsidR="003B7996" w:rsidRPr="008D0C90" w:rsidRDefault="003B7996" w:rsidP="003B7996">
      <w:pPr>
        <w:widowControl w:val="0"/>
        <w:ind w:left="360" w:hanging="360"/>
        <w:rPr>
          <w:rFonts w:asciiTheme="majorHAnsi" w:hAnsiTheme="majorHAnsi"/>
          <w:b/>
          <w:bCs/>
          <w:sz w:val="26"/>
          <w:szCs w:val="26"/>
        </w:rPr>
      </w:pPr>
      <w:r w:rsidRPr="008D0C90">
        <w:rPr>
          <w:rFonts w:asciiTheme="majorHAnsi" w:hAnsiTheme="majorHAnsi"/>
          <w:b/>
          <w:bCs/>
          <w:sz w:val="26"/>
          <w:szCs w:val="26"/>
        </w:rPr>
        <w:t>MEMBERSHIP COMMITTEE</w:t>
      </w:r>
    </w:p>
    <w:p w14:paraId="7765E47F" w14:textId="77777777" w:rsidR="003B7996" w:rsidRPr="008D0C90" w:rsidRDefault="003B7996" w:rsidP="003B7996">
      <w:pPr>
        <w:widowControl w:val="0"/>
        <w:ind w:left="360" w:hanging="360"/>
        <w:rPr>
          <w:rFonts w:asciiTheme="majorHAnsi" w:hAnsiTheme="majorHAnsi"/>
          <w:sz w:val="26"/>
          <w:szCs w:val="26"/>
        </w:rPr>
      </w:pPr>
      <w:r w:rsidRPr="008D0C90">
        <w:rPr>
          <w:rFonts w:asciiTheme="majorHAnsi" w:hAnsiTheme="majorHAnsi"/>
          <w:sz w:val="26"/>
          <w:szCs w:val="26"/>
        </w:rPr>
        <w:tab/>
        <w:t xml:space="preserve">Ryan </w:t>
      </w:r>
      <w:proofErr w:type="spellStart"/>
      <w:r w:rsidRPr="008D0C90">
        <w:rPr>
          <w:rFonts w:asciiTheme="majorHAnsi" w:hAnsiTheme="majorHAnsi"/>
          <w:sz w:val="26"/>
          <w:szCs w:val="26"/>
        </w:rPr>
        <w:t>Hochmiller</w:t>
      </w:r>
      <w:proofErr w:type="spellEnd"/>
      <w:r w:rsidRPr="008D0C90">
        <w:rPr>
          <w:rFonts w:asciiTheme="majorHAnsi" w:hAnsiTheme="majorHAnsi"/>
          <w:sz w:val="26"/>
          <w:szCs w:val="26"/>
        </w:rPr>
        <w:t xml:space="preserve"> - Committee Chair; Martin Mercer-Deadman, Andy Mundy</w:t>
      </w:r>
    </w:p>
    <w:p w14:paraId="1AFBC5CA" w14:textId="77777777" w:rsidR="003B7996" w:rsidRPr="008D0C90" w:rsidRDefault="003B7996" w:rsidP="003B7996">
      <w:pPr>
        <w:widowControl w:val="0"/>
        <w:ind w:left="360" w:hanging="360"/>
        <w:rPr>
          <w:rFonts w:asciiTheme="majorHAnsi" w:hAnsiTheme="majorHAnsi"/>
          <w:b/>
          <w:bCs/>
          <w:sz w:val="26"/>
          <w:szCs w:val="26"/>
        </w:rPr>
      </w:pPr>
      <w:r w:rsidRPr="008D0C90">
        <w:rPr>
          <w:rFonts w:asciiTheme="majorHAnsi" w:hAnsiTheme="majorHAnsi"/>
          <w:b/>
          <w:bCs/>
          <w:sz w:val="26"/>
          <w:szCs w:val="26"/>
        </w:rPr>
        <w:t>LEGISLATIVE COMMITTEE</w:t>
      </w:r>
    </w:p>
    <w:p w14:paraId="47DF8E5B" w14:textId="77777777" w:rsidR="003B7996" w:rsidRPr="008D0C90" w:rsidRDefault="003B7996" w:rsidP="003B7996">
      <w:pPr>
        <w:widowControl w:val="0"/>
        <w:ind w:left="360" w:hanging="360"/>
        <w:rPr>
          <w:rFonts w:asciiTheme="majorHAnsi" w:hAnsiTheme="majorHAnsi"/>
          <w:sz w:val="26"/>
          <w:szCs w:val="26"/>
        </w:rPr>
      </w:pPr>
      <w:r w:rsidRPr="008D0C90">
        <w:rPr>
          <w:rFonts w:asciiTheme="majorHAnsi" w:hAnsiTheme="majorHAnsi"/>
          <w:sz w:val="26"/>
          <w:szCs w:val="26"/>
        </w:rPr>
        <w:tab/>
        <w:t xml:space="preserve">Ryan </w:t>
      </w:r>
      <w:proofErr w:type="spellStart"/>
      <w:r w:rsidRPr="008D0C90">
        <w:rPr>
          <w:rFonts w:asciiTheme="majorHAnsi" w:hAnsiTheme="majorHAnsi"/>
          <w:sz w:val="26"/>
          <w:szCs w:val="26"/>
        </w:rPr>
        <w:t>Hochmiller</w:t>
      </w:r>
      <w:proofErr w:type="spellEnd"/>
      <w:r w:rsidRPr="008D0C90">
        <w:rPr>
          <w:rFonts w:asciiTheme="majorHAnsi" w:hAnsiTheme="majorHAnsi"/>
          <w:sz w:val="26"/>
          <w:szCs w:val="26"/>
        </w:rPr>
        <w:t xml:space="preserve"> - Committee Chair</w:t>
      </w:r>
    </w:p>
    <w:sectPr w:rsidR="003B7996" w:rsidRPr="008D0C90">
      <w:footerReference w:type="default" r:id="rId17"/>
      <w:footerReference w:type="first" r:id="rId18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38DC" w14:textId="77777777" w:rsidR="00D756ED" w:rsidRDefault="00D756ED">
      <w:pPr>
        <w:spacing w:after="0" w:line="240" w:lineRule="auto"/>
      </w:pPr>
      <w:r>
        <w:separator/>
      </w:r>
    </w:p>
  </w:endnote>
  <w:endnote w:type="continuationSeparator" w:id="0">
    <w:p w14:paraId="0156C1F0" w14:textId="77777777" w:rsidR="00D756ED" w:rsidRDefault="00D756ED">
      <w:pPr>
        <w:spacing w:after="0" w:line="240" w:lineRule="auto"/>
      </w:pPr>
      <w:r>
        <w:continuationSeparator/>
      </w:r>
    </w:p>
  </w:endnote>
  <w:endnote w:type="continuationNotice" w:id="1">
    <w:p w14:paraId="4C012992" w14:textId="77777777" w:rsidR="00D756ED" w:rsidRDefault="00D75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Norm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970D4" w14:textId="5CB4CE70" w:rsidR="008660D4" w:rsidRDefault="008660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C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FA85C" w14:textId="2BAEC45C" w:rsidR="008660D4" w:rsidRDefault="008660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1471" w14:textId="77777777" w:rsidR="00D756ED" w:rsidRDefault="00D756ED">
      <w:pPr>
        <w:spacing w:after="0" w:line="240" w:lineRule="auto"/>
      </w:pPr>
      <w:r>
        <w:separator/>
      </w:r>
    </w:p>
  </w:footnote>
  <w:footnote w:type="continuationSeparator" w:id="0">
    <w:p w14:paraId="7A32BAE6" w14:textId="77777777" w:rsidR="00D756ED" w:rsidRDefault="00D756ED">
      <w:pPr>
        <w:spacing w:after="0" w:line="240" w:lineRule="auto"/>
      </w:pPr>
      <w:r>
        <w:continuationSeparator/>
      </w:r>
    </w:p>
  </w:footnote>
  <w:footnote w:type="continuationNotice" w:id="1">
    <w:p w14:paraId="2FB44632" w14:textId="77777777" w:rsidR="00D756ED" w:rsidRDefault="00D756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135E44"/>
    <w:multiLevelType w:val="hybridMultilevel"/>
    <w:tmpl w:val="2D8810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26203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476FB6"/>
    <w:multiLevelType w:val="hybridMultilevel"/>
    <w:tmpl w:val="32600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8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13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E9"/>
    <w:rsid w:val="0002487F"/>
    <w:rsid w:val="00047CDB"/>
    <w:rsid w:val="000675D8"/>
    <w:rsid w:val="000706E6"/>
    <w:rsid w:val="000741FB"/>
    <w:rsid w:val="000746EC"/>
    <w:rsid w:val="00090D11"/>
    <w:rsid w:val="000C4DEE"/>
    <w:rsid w:val="000D33C7"/>
    <w:rsid w:val="000E17E8"/>
    <w:rsid w:val="000E493E"/>
    <w:rsid w:val="00103B98"/>
    <w:rsid w:val="001200AB"/>
    <w:rsid w:val="001213FA"/>
    <w:rsid w:val="00155E57"/>
    <w:rsid w:val="00156FCA"/>
    <w:rsid w:val="001613D8"/>
    <w:rsid w:val="001621A5"/>
    <w:rsid w:val="00183444"/>
    <w:rsid w:val="001B118C"/>
    <w:rsid w:val="001B3383"/>
    <w:rsid w:val="001B5C4B"/>
    <w:rsid w:val="001B672E"/>
    <w:rsid w:val="001D1F7C"/>
    <w:rsid w:val="001D42D3"/>
    <w:rsid w:val="001D6799"/>
    <w:rsid w:val="001E2E2B"/>
    <w:rsid w:val="001F02F7"/>
    <w:rsid w:val="001F4CA7"/>
    <w:rsid w:val="002008F0"/>
    <w:rsid w:val="002011EE"/>
    <w:rsid w:val="002019D1"/>
    <w:rsid w:val="002106E9"/>
    <w:rsid w:val="002130E8"/>
    <w:rsid w:val="00223C56"/>
    <w:rsid w:val="00232B08"/>
    <w:rsid w:val="00241353"/>
    <w:rsid w:val="00243738"/>
    <w:rsid w:val="00245EB5"/>
    <w:rsid w:val="0024698C"/>
    <w:rsid w:val="00247870"/>
    <w:rsid w:val="002504B3"/>
    <w:rsid w:val="00257C10"/>
    <w:rsid w:val="00267AFB"/>
    <w:rsid w:val="00281E39"/>
    <w:rsid w:val="002879EE"/>
    <w:rsid w:val="002A3D35"/>
    <w:rsid w:val="002B1A63"/>
    <w:rsid w:val="002B2685"/>
    <w:rsid w:val="002B3C34"/>
    <w:rsid w:val="002B5B14"/>
    <w:rsid w:val="002C1848"/>
    <w:rsid w:val="002C4E62"/>
    <w:rsid w:val="002C5C7A"/>
    <w:rsid w:val="002D1EBC"/>
    <w:rsid w:val="002D247E"/>
    <w:rsid w:val="002E1C17"/>
    <w:rsid w:val="002F663D"/>
    <w:rsid w:val="00302C26"/>
    <w:rsid w:val="0032638D"/>
    <w:rsid w:val="00333DCF"/>
    <w:rsid w:val="003472EE"/>
    <w:rsid w:val="00350518"/>
    <w:rsid w:val="00374795"/>
    <w:rsid w:val="003751D2"/>
    <w:rsid w:val="00385A8B"/>
    <w:rsid w:val="00395C7D"/>
    <w:rsid w:val="003B1615"/>
    <w:rsid w:val="003B65CA"/>
    <w:rsid w:val="003B7996"/>
    <w:rsid w:val="003D65A5"/>
    <w:rsid w:val="003E7A07"/>
    <w:rsid w:val="00414F89"/>
    <w:rsid w:val="00440EA8"/>
    <w:rsid w:val="00442C24"/>
    <w:rsid w:val="0044489C"/>
    <w:rsid w:val="00445107"/>
    <w:rsid w:val="00452CBA"/>
    <w:rsid w:val="00452E47"/>
    <w:rsid w:val="004534E8"/>
    <w:rsid w:val="00457B3F"/>
    <w:rsid w:val="004722B2"/>
    <w:rsid w:val="00477AE9"/>
    <w:rsid w:val="00484506"/>
    <w:rsid w:val="00490EF5"/>
    <w:rsid w:val="00492350"/>
    <w:rsid w:val="00494352"/>
    <w:rsid w:val="004A279C"/>
    <w:rsid w:val="004C3F8F"/>
    <w:rsid w:val="004D338B"/>
    <w:rsid w:val="004D4C7A"/>
    <w:rsid w:val="004E5157"/>
    <w:rsid w:val="004E5A7D"/>
    <w:rsid w:val="004F016F"/>
    <w:rsid w:val="00501911"/>
    <w:rsid w:val="00501E68"/>
    <w:rsid w:val="00506BE8"/>
    <w:rsid w:val="005105A0"/>
    <w:rsid w:val="00511A60"/>
    <w:rsid w:val="005228A3"/>
    <w:rsid w:val="0054104F"/>
    <w:rsid w:val="005441A6"/>
    <w:rsid w:val="005477B7"/>
    <w:rsid w:val="005563A4"/>
    <w:rsid w:val="00593B40"/>
    <w:rsid w:val="0059563E"/>
    <w:rsid w:val="00595C1E"/>
    <w:rsid w:val="00596BFE"/>
    <w:rsid w:val="005B07AE"/>
    <w:rsid w:val="005B63B0"/>
    <w:rsid w:val="005C4F67"/>
    <w:rsid w:val="005D0341"/>
    <w:rsid w:val="005E296E"/>
    <w:rsid w:val="006014BA"/>
    <w:rsid w:val="00602D30"/>
    <w:rsid w:val="00616E4E"/>
    <w:rsid w:val="0062060E"/>
    <w:rsid w:val="006364E4"/>
    <w:rsid w:val="006368F1"/>
    <w:rsid w:val="006379F1"/>
    <w:rsid w:val="006407EB"/>
    <w:rsid w:val="0065053F"/>
    <w:rsid w:val="0065197B"/>
    <w:rsid w:val="0066309B"/>
    <w:rsid w:val="00687519"/>
    <w:rsid w:val="006A2C55"/>
    <w:rsid w:val="006B7D91"/>
    <w:rsid w:val="006D3B9C"/>
    <w:rsid w:val="006D4225"/>
    <w:rsid w:val="006E5769"/>
    <w:rsid w:val="006F14D5"/>
    <w:rsid w:val="006F196C"/>
    <w:rsid w:val="00700ECD"/>
    <w:rsid w:val="0070547D"/>
    <w:rsid w:val="00705978"/>
    <w:rsid w:val="0070615F"/>
    <w:rsid w:val="00707039"/>
    <w:rsid w:val="0071048E"/>
    <w:rsid w:val="00716E28"/>
    <w:rsid w:val="00720947"/>
    <w:rsid w:val="007217B7"/>
    <w:rsid w:val="007825B6"/>
    <w:rsid w:val="00783930"/>
    <w:rsid w:val="0078775C"/>
    <w:rsid w:val="00790847"/>
    <w:rsid w:val="007911DE"/>
    <w:rsid w:val="00791FD2"/>
    <w:rsid w:val="00794512"/>
    <w:rsid w:val="007949C1"/>
    <w:rsid w:val="00797386"/>
    <w:rsid w:val="007A07C1"/>
    <w:rsid w:val="007A0B13"/>
    <w:rsid w:val="007B0CFB"/>
    <w:rsid w:val="007B19DE"/>
    <w:rsid w:val="007B2EE5"/>
    <w:rsid w:val="007B710C"/>
    <w:rsid w:val="007C2BDA"/>
    <w:rsid w:val="007D3A95"/>
    <w:rsid w:val="007D734F"/>
    <w:rsid w:val="007E194A"/>
    <w:rsid w:val="007E2424"/>
    <w:rsid w:val="007E66F3"/>
    <w:rsid w:val="00804CDB"/>
    <w:rsid w:val="008054B4"/>
    <w:rsid w:val="008153DC"/>
    <w:rsid w:val="00815EDF"/>
    <w:rsid w:val="00830AFA"/>
    <w:rsid w:val="0084279B"/>
    <w:rsid w:val="008518DF"/>
    <w:rsid w:val="00857602"/>
    <w:rsid w:val="008660D4"/>
    <w:rsid w:val="00871C02"/>
    <w:rsid w:val="00881B1F"/>
    <w:rsid w:val="008D0C90"/>
    <w:rsid w:val="008D55B3"/>
    <w:rsid w:val="008D65F5"/>
    <w:rsid w:val="008E3A2D"/>
    <w:rsid w:val="008F109D"/>
    <w:rsid w:val="008F7C45"/>
    <w:rsid w:val="00906E90"/>
    <w:rsid w:val="009243ED"/>
    <w:rsid w:val="0092446E"/>
    <w:rsid w:val="00940746"/>
    <w:rsid w:val="0095232C"/>
    <w:rsid w:val="009550FD"/>
    <w:rsid w:val="00984B4F"/>
    <w:rsid w:val="009A0AFF"/>
    <w:rsid w:val="009A397E"/>
    <w:rsid w:val="009A4383"/>
    <w:rsid w:val="009A5686"/>
    <w:rsid w:val="009B01BA"/>
    <w:rsid w:val="009B51B6"/>
    <w:rsid w:val="009B7813"/>
    <w:rsid w:val="009C360A"/>
    <w:rsid w:val="009C3744"/>
    <w:rsid w:val="009D6832"/>
    <w:rsid w:val="009E3CB8"/>
    <w:rsid w:val="009F72AF"/>
    <w:rsid w:val="00A00758"/>
    <w:rsid w:val="00A009DA"/>
    <w:rsid w:val="00A12C59"/>
    <w:rsid w:val="00A24363"/>
    <w:rsid w:val="00A26F0F"/>
    <w:rsid w:val="00A3065A"/>
    <w:rsid w:val="00A327C0"/>
    <w:rsid w:val="00A41853"/>
    <w:rsid w:val="00A60CBF"/>
    <w:rsid w:val="00A77817"/>
    <w:rsid w:val="00A839BF"/>
    <w:rsid w:val="00A846CE"/>
    <w:rsid w:val="00A905F6"/>
    <w:rsid w:val="00A95532"/>
    <w:rsid w:val="00A95A8F"/>
    <w:rsid w:val="00A97E63"/>
    <w:rsid w:val="00AA21CF"/>
    <w:rsid w:val="00AB1BBC"/>
    <w:rsid w:val="00AC4AA1"/>
    <w:rsid w:val="00AD30D3"/>
    <w:rsid w:val="00AE5367"/>
    <w:rsid w:val="00AF1B98"/>
    <w:rsid w:val="00B03E5C"/>
    <w:rsid w:val="00B366A9"/>
    <w:rsid w:val="00B42E0E"/>
    <w:rsid w:val="00B52456"/>
    <w:rsid w:val="00B543DD"/>
    <w:rsid w:val="00B55286"/>
    <w:rsid w:val="00B56C79"/>
    <w:rsid w:val="00B7387A"/>
    <w:rsid w:val="00BA4F14"/>
    <w:rsid w:val="00BA5C9D"/>
    <w:rsid w:val="00BA7C03"/>
    <w:rsid w:val="00BB5770"/>
    <w:rsid w:val="00BB5E91"/>
    <w:rsid w:val="00BB6A40"/>
    <w:rsid w:val="00BC2BA1"/>
    <w:rsid w:val="00BF7833"/>
    <w:rsid w:val="00C027E1"/>
    <w:rsid w:val="00C36963"/>
    <w:rsid w:val="00C45DA9"/>
    <w:rsid w:val="00C500BD"/>
    <w:rsid w:val="00C506D1"/>
    <w:rsid w:val="00C5530D"/>
    <w:rsid w:val="00C64930"/>
    <w:rsid w:val="00C678DB"/>
    <w:rsid w:val="00C753FD"/>
    <w:rsid w:val="00C94464"/>
    <w:rsid w:val="00CA7AAD"/>
    <w:rsid w:val="00CB35F9"/>
    <w:rsid w:val="00CB7A3F"/>
    <w:rsid w:val="00CF10BF"/>
    <w:rsid w:val="00CF1CC4"/>
    <w:rsid w:val="00CF1FB1"/>
    <w:rsid w:val="00CF24A9"/>
    <w:rsid w:val="00D020A9"/>
    <w:rsid w:val="00D03146"/>
    <w:rsid w:val="00D0512C"/>
    <w:rsid w:val="00D0661D"/>
    <w:rsid w:val="00D13AE6"/>
    <w:rsid w:val="00D16FE6"/>
    <w:rsid w:val="00D266CF"/>
    <w:rsid w:val="00D566C7"/>
    <w:rsid w:val="00D756ED"/>
    <w:rsid w:val="00D84B4B"/>
    <w:rsid w:val="00DA7E87"/>
    <w:rsid w:val="00DB3E96"/>
    <w:rsid w:val="00DC4B8D"/>
    <w:rsid w:val="00DD083D"/>
    <w:rsid w:val="00DD0994"/>
    <w:rsid w:val="00E04348"/>
    <w:rsid w:val="00E07462"/>
    <w:rsid w:val="00E101C8"/>
    <w:rsid w:val="00E11A3D"/>
    <w:rsid w:val="00E157ED"/>
    <w:rsid w:val="00E22BD0"/>
    <w:rsid w:val="00E310CF"/>
    <w:rsid w:val="00E47E40"/>
    <w:rsid w:val="00E52158"/>
    <w:rsid w:val="00E63FC7"/>
    <w:rsid w:val="00E74E7B"/>
    <w:rsid w:val="00E763A4"/>
    <w:rsid w:val="00E80F7B"/>
    <w:rsid w:val="00EA49DA"/>
    <w:rsid w:val="00EA6725"/>
    <w:rsid w:val="00EB136B"/>
    <w:rsid w:val="00EB2D22"/>
    <w:rsid w:val="00EC5281"/>
    <w:rsid w:val="00EF5768"/>
    <w:rsid w:val="00F00960"/>
    <w:rsid w:val="00F010F8"/>
    <w:rsid w:val="00F20504"/>
    <w:rsid w:val="00F20BF8"/>
    <w:rsid w:val="00F242C8"/>
    <w:rsid w:val="00F2704F"/>
    <w:rsid w:val="00F44DA2"/>
    <w:rsid w:val="00F61644"/>
    <w:rsid w:val="00F62704"/>
    <w:rsid w:val="00F66DB4"/>
    <w:rsid w:val="00F66FAF"/>
    <w:rsid w:val="00F73A58"/>
    <w:rsid w:val="00F828EA"/>
    <w:rsid w:val="00F84A13"/>
    <w:rsid w:val="00F8672B"/>
    <w:rsid w:val="00F95F1C"/>
    <w:rsid w:val="00FA203D"/>
    <w:rsid w:val="00FB59A3"/>
    <w:rsid w:val="00FB6673"/>
    <w:rsid w:val="00FC6973"/>
    <w:rsid w:val="00FC773D"/>
    <w:rsid w:val="00FD0755"/>
    <w:rsid w:val="00FD1744"/>
    <w:rsid w:val="00FD474D"/>
    <w:rsid w:val="00FD50B6"/>
    <w:rsid w:val="00FE5402"/>
    <w:rsid w:val="02ABE73A"/>
    <w:rsid w:val="04E1B26D"/>
    <w:rsid w:val="05158F1B"/>
    <w:rsid w:val="06EA5166"/>
    <w:rsid w:val="08ADB05A"/>
    <w:rsid w:val="10451CA8"/>
    <w:rsid w:val="13D23E2A"/>
    <w:rsid w:val="14C9379F"/>
    <w:rsid w:val="18D6ADCB"/>
    <w:rsid w:val="1A393FFA"/>
    <w:rsid w:val="1CF5D73C"/>
    <w:rsid w:val="1E695B43"/>
    <w:rsid w:val="201BA43C"/>
    <w:rsid w:val="214D4639"/>
    <w:rsid w:val="21D6DE7C"/>
    <w:rsid w:val="22707B90"/>
    <w:rsid w:val="277C05A2"/>
    <w:rsid w:val="284F1AC0"/>
    <w:rsid w:val="28AE6D3B"/>
    <w:rsid w:val="2A69BEED"/>
    <w:rsid w:val="31671172"/>
    <w:rsid w:val="325B9DE3"/>
    <w:rsid w:val="368D6DFF"/>
    <w:rsid w:val="36C2C8B3"/>
    <w:rsid w:val="3A0001B1"/>
    <w:rsid w:val="3D0B6A2A"/>
    <w:rsid w:val="4062082E"/>
    <w:rsid w:val="40D69C04"/>
    <w:rsid w:val="40F711C1"/>
    <w:rsid w:val="4366597B"/>
    <w:rsid w:val="438DBB9A"/>
    <w:rsid w:val="46204EDE"/>
    <w:rsid w:val="462E9421"/>
    <w:rsid w:val="46C55C5C"/>
    <w:rsid w:val="4B98CD7F"/>
    <w:rsid w:val="4EEA01D9"/>
    <w:rsid w:val="50B006A1"/>
    <w:rsid w:val="523EFF41"/>
    <w:rsid w:val="52E5A989"/>
    <w:rsid w:val="553FAFC5"/>
    <w:rsid w:val="55BF60E7"/>
    <w:rsid w:val="577B92FC"/>
    <w:rsid w:val="58A4B3AB"/>
    <w:rsid w:val="58BB1886"/>
    <w:rsid w:val="5987795A"/>
    <w:rsid w:val="5B6CC874"/>
    <w:rsid w:val="5C5096AB"/>
    <w:rsid w:val="5CE67C3B"/>
    <w:rsid w:val="62262053"/>
    <w:rsid w:val="62C631EC"/>
    <w:rsid w:val="63C1F0B4"/>
    <w:rsid w:val="655DC115"/>
    <w:rsid w:val="6651B5DE"/>
    <w:rsid w:val="69426773"/>
    <w:rsid w:val="6B8E32C8"/>
    <w:rsid w:val="6D5459AC"/>
    <w:rsid w:val="6FB71189"/>
    <w:rsid w:val="704A5ACC"/>
    <w:rsid w:val="72800C1C"/>
    <w:rsid w:val="73672B80"/>
    <w:rsid w:val="73BAF010"/>
    <w:rsid w:val="740BA85D"/>
    <w:rsid w:val="75FB74DD"/>
    <w:rsid w:val="77CEDC3A"/>
    <w:rsid w:val="78292063"/>
    <w:rsid w:val="79E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1D98F"/>
  <w15:chartTrackingRefBased/>
  <w15:docId w15:val="{29BCF6A0-8848-40A5-9747-649A96FC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6E9"/>
  </w:style>
  <w:style w:type="paragraph" w:styleId="Heading1">
    <w:name w:val="heading 1"/>
    <w:basedOn w:val="Normal"/>
    <w:next w:val="Normal"/>
    <w:link w:val="Heading1Ch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414F89"/>
    <w:rPr>
      <w:b/>
      <w:iCs/>
      <w:color w:val="EB130B" w:themeColor="accent1" w:themeShade="BF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  <w:style w:type="table" w:customStyle="1" w:styleId="TableGrid0">
    <w:name w:val="TableGrid"/>
    <w:rsid w:val="002B5B14"/>
    <w:pPr>
      <w:spacing w:after="0" w:line="240" w:lineRule="auto"/>
    </w:pPr>
    <w:rPr>
      <w:rFonts w:eastAsiaTheme="minorEastAsia"/>
      <w:color w:val="auto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64930"/>
    <w:pPr>
      <w:spacing w:after="0" w:line="240" w:lineRule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Paper%20with%20cover%20and%20TOC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truckpartsolutions.sharepoint.com/teams/ITPA/Shared%20Documents/Policy/ITPA%20Performance%20Measuremen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numRef>
              <c:f>Sheet1!$K$4:$K$15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Sheet1!$M$4:$M$15</c:f>
              <c:numCache>
                <c:formatCode>General</c:formatCode>
                <c:ptCount val="12"/>
                <c:pt idx="0">
                  <c:v>112</c:v>
                </c:pt>
                <c:pt idx="1">
                  <c:v>111</c:v>
                </c:pt>
                <c:pt idx="2">
                  <c:v>107</c:v>
                </c:pt>
                <c:pt idx="3">
                  <c:v>109</c:v>
                </c:pt>
                <c:pt idx="4">
                  <c:v>119</c:v>
                </c:pt>
                <c:pt idx="5">
                  <c:v>117</c:v>
                </c:pt>
                <c:pt idx="6">
                  <c:v>115</c:v>
                </c:pt>
                <c:pt idx="7">
                  <c:v>115</c:v>
                </c:pt>
                <c:pt idx="8">
                  <c:v>114</c:v>
                </c:pt>
                <c:pt idx="9">
                  <c:v>111</c:v>
                </c:pt>
                <c:pt idx="10">
                  <c:v>108</c:v>
                </c:pt>
                <c:pt idx="11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CB-4850-99C5-F9A217D47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9916032"/>
        <c:axId val="749916360"/>
        <c:axId val="0"/>
      </c:bar3DChart>
      <c:catAx>
        <c:axId val="74991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916360"/>
        <c:crosses val="autoZero"/>
        <c:auto val="1"/>
        <c:lblAlgn val="ctr"/>
        <c:lblOffset val="100"/>
        <c:noMultiLvlLbl val="0"/>
      </c:catAx>
      <c:valAx>
        <c:axId val="749916360"/>
        <c:scaling>
          <c:orientation val="minMax"/>
          <c:max val="125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91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6C0E1B069E64FA0038A421A589ABB" ma:contentTypeVersion="12" ma:contentTypeDescription="Create a new document." ma:contentTypeScope="" ma:versionID="5de73afa3576a9139a35b5b8e296bad1">
  <xsd:schema xmlns:xsd="http://www.w3.org/2001/XMLSchema" xmlns:xs="http://www.w3.org/2001/XMLSchema" xmlns:p="http://schemas.microsoft.com/office/2006/metadata/properties" xmlns:ns2="09cf83e6-0774-461c-8f9e-65cbcac23bbf" xmlns:ns3="6e96ec28-129e-48a4-a2c1-502c1929be2e" targetNamespace="http://schemas.microsoft.com/office/2006/metadata/properties" ma:root="true" ma:fieldsID="65382517d2bffabc4d4e5bd6de129689" ns2:_="" ns3:_="">
    <xsd:import namespace="09cf83e6-0774-461c-8f9e-65cbcac23bbf"/>
    <xsd:import namespace="6e96ec28-129e-48a4-a2c1-502c1929b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83e6-0774-461c-8f9e-65cbcac23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6ec28-129e-48a4-a2c1-502c1929b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EE9AD-6666-452A-BE5A-6B1BCF54C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2951A-C84D-4D5F-9870-5723E0E21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59AFD-2904-4998-806C-D71613037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F853F-14AF-44B0-BC59-E4B2C668C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f83e6-0774-461c-8f9e-65cbcac23bbf"/>
    <ds:schemaRef ds:uri="6e96ec28-129e-48a4-a2c1-502c1929b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with cover and TOC</Template>
  <TotalTime>296</TotalTime>
  <Pages>14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Tetz</dc:creator>
  <cp:keywords/>
  <dc:description/>
  <cp:lastModifiedBy>Scott Tetz</cp:lastModifiedBy>
  <cp:revision>90</cp:revision>
  <cp:lastPrinted>2018-05-03T19:42:00Z</cp:lastPrinted>
  <dcterms:created xsi:type="dcterms:W3CDTF">2021-11-18T03:27:00Z</dcterms:created>
  <dcterms:modified xsi:type="dcterms:W3CDTF">2021-12-07T21:11:00Z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0x010100DDE6C0E1B069E64FA0038A421A589ABB</vt:lpwstr>
  </property>
</Properties>
</file>