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3137" w14:textId="77777777" w:rsidR="00C36963" w:rsidRDefault="002106E9">
      <w:pPr>
        <w:pStyle w:val="Title"/>
      </w:pPr>
      <w:r>
        <w:t>Board REport</w:t>
      </w:r>
    </w:p>
    <w:p w14:paraId="4F4BF0CF" w14:textId="55C42745" w:rsidR="00C36963" w:rsidRPr="002106E9" w:rsidRDefault="00EC52A9">
      <w:pPr>
        <w:pStyle w:val="Subtitle"/>
        <w:rPr>
          <w:color w:val="0070C0"/>
        </w:rPr>
      </w:pPr>
      <w:r>
        <w:rPr>
          <w:color w:val="0070C0"/>
        </w:rPr>
        <w:t>November</w:t>
      </w:r>
      <w:r w:rsidR="001D42D3">
        <w:rPr>
          <w:color w:val="0070C0"/>
        </w:rPr>
        <w:t xml:space="preserve"> </w:t>
      </w:r>
      <w:r w:rsidR="002106E9" w:rsidRPr="002106E9">
        <w:rPr>
          <w:color w:val="0070C0"/>
        </w:rPr>
        <w:t>201</w:t>
      </w:r>
      <w:r w:rsidR="00445107">
        <w:rPr>
          <w:color w:val="0070C0"/>
        </w:rPr>
        <w:t>9</w:t>
      </w:r>
    </w:p>
    <w:p w14:paraId="2F620958" w14:textId="77777777" w:rsidR="00C36963" w:rsidRDefault="002106E9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D49656" wp14:editId="4C984A24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4953000" cy="4546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ITPA LOGO (2015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caps/>
          <w:noProof/>
          <w:color w:val="2A2A2A" w:themeColor="text2"/>
          <w:sz w:val="28"/>
        </w:rPr>
      </w:sdtEndPr>
      <w:sdtContent>
        <w:p w14:paraId="5F0D4E22" w14:textId="77777777" w:rsidR="00C36963" w:rsidRDefault="00A95A8F">
          <w:pPr>
            <w:pStyle w:val="TOCHeading"/>
          </w:pPr>
          <w:r w:rsidRPr="002106E9">
            <w:rPr>
              <w:rStyle w:val="Emphasis"/>
              <w:color w:val="0070C0"/>
            </w:rPr>
            <w:t>TAble of</w:t>
          </w:r>
          <w:r w:rsidRPr="002106E9">
            <w:rPr>
              <w:rStyle w:val="Emphasis"/>
              <w:color w:val="0070C0"/>
            </w:rPr>
            <w:br/>
          </w:r>
          <w:r>
            <w:t>Contents</w:t>
          </w:r>
        </w:p>
        <w:p w14:paraId="5B1113BE" w14:textId="11B8662E" w:rsidR="008F7C45" w:rsidRDefault="002106E9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fldChar w:fldCharType="begin"/>
          </w:r>
          <w:r>
            <w:instrText xml:space="preserve"> TOC \o "1-3" \u </w:instrText>
          </w:r>
          <w:r>
            <w:rPr>
              <w:noProof/>
            </w:rPr>
            <w:fldChar w:fldCharType="separate"/>
          </w:r>
          <w:r w:rsidR="008F7C45" w:rsidRPr="0002412D">
            <w:rPr>
              <w:iCs/>
              <w:noProof/>
              <w:color w:val="0070C0"/>
            </w:rPr>
            <w:t xml:space="preserve">Purpose </w:t>
          </w:r>
          <w:r w:rsidR="008F7C45">
            <w:rPr>
              <w:noProof/>
            </w:rPr>
            <w:t xml:space="preserve"> of report</w:t>
          </w:r>
          <w:r w:rsidR="008F7C45">
            <w:rPr>
              <w:noProof/>
            </w:rPr>
            <w:tab/>
          </w:r>
          <w:r w:rsidR="008F7C45">
            <w:rPr>
              <w:noProof/>
            </w:rPr>
            <w:fldChar w:fldCharType="begin"/>
          </w:r>
          <w:r w:rsidR="008F7C45">
            <w:rPr>
              <w:noProof/>
            </w:rPr>
            <w:instrText xml:space="preserve"> PAGEREF _Toc6565696 \h </w:instrText>
          </w:r>
          <w:r w:rsidR="008F7C45">
            <w:rPr>
              <w:noProof/>
            </w:rPr>
          </w:r>
          <w:r w:rsidR="008F7C45">
            <w:rPr>
              <w:noProof/>
            </w:rPr>
            <w:fldChar w:fldCharType="separate"/>
          </w:r>
          <w:r w:rsidR="002879EE">
            <w:rPr>
              <w:noProof/>
            </w:rPr>
            <w:t>1</w:t>
          </w:r>
          <w:r w:rsidR="008F7C45">
            <w:rPr>
              <w:noProof/>
            </w:rPr>
            <w:fldChar w:fldCharType="end"/>
          </w:r>
        </w:p>
        <w:p w14:paraId="392F4C38" w14:textId="045C08A2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Latest </w:t>
          </w:r>
          <w:r w:rsidRPr="0002412D">
            <w:rPr>
              <w:rFonts w:eastAsiaTheme="majorEastAsia" w:cstheme="majorBidi"/>
              <w:noProof/>
            </w:rPr>
            <w:t xml:space="preserve"> board meeting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_Toc6565697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  <w:p w14:paraId="668BE545" w14:textId="4CE80A01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Operational </w:t>
          </w:r>
          <w:r w:rsidRPr="0002412D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_Toc6565698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FE77B9C" w14:textId="03CCDD29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2019 Fall (Miami, FL)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_Toc6565699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E7DC699" w14:textId="5DB7EC25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2020 Spring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A389488" w14:textId="1F994B1F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2020 Fall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7A6DAAE" w14:textId="77B6577F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2021 Spring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72024AC" w14:textId="3BC258D2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Membership </w:t>
          </w:r>
          <w:r w:rsidRPr="0002412D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72B9DB2" w14:textId="1A43240E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Current Membership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F4D8CE1" w14:textId="2F6BD699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2018 Additions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D227E11" w14:textId="44BD668B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2018 Cancellations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F4AFC0F" w14:textId="5B80B42F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 xml:space="preserve">Financial </w:t>
          </w:r>
          <w:r w:rsidRPr="0002412D">
            <w:rPr>
              <w:rFonts w:eastAsiaTheme="majorEastAsia" w:cstheme="majorBidi"/>
              <w:noProof/>
            </w:rPr>
            <w:t xml:space="preserve"> Update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AB4B9E4" w14:textId="041CCA16" w:rsidR="008F7C45" w:rsidRDefault="008F7C45" w:rsidP="00445107">
          <w:pPr>
            <w:pStyle w:val="TOC1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 w:rsidRPr="00445107">
            <w:rPr>
              <w:rFonts w:eastAsiaTheme="majorEastAsia" w:cstheme="majorBidi"/>
              <w:iCs/>
              <w:noProof/>
              <w:color w:val="0070C0"/>
            </w:rPr>
            <w:lastRenderedPageBreak/>
            <w:t>Sponsors</w:t>
          </w:r>
          <w:r>
            <w:rPr>
              <w:noProof/>
            </w:rPr>
            <w:tab/>
          </w:r>
          <w:r w:rsidR="00511A60">
            <w:rPr>
              <w:noProof/>
            </w:rPr>
            <w:t>15</w:t>
          </w:r>
        </w:p>
        <w:p w14:paraId="024C5625" w14:textId="7FE2676E" w:rsidR="008F7C45" w:rsidRDefault="008F7C45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CA" w:eastAsia="en-CA"/>
            </w:rPr>
          </w:pPr>
          <w:r w:rsidRPr="0002412D">
            <w:rPr>
              <w:rFonts w:eastAsiaTheme="majorEastAsia" w:cstheme="majorBidi"/>
              <w:iCs/>
              <w:noProof/>
              <w:color w:val="0070C0"/>
            </w:rPr>
            <w:t>Governance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59175B9" w14:textId="3BD9D532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ITPA Board of directors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785E2175" w14:textId="328504A1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Convention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E3681E2" w14:textId="4F10FDCD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Investment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1C21A906" w14:textId="51CCF3D9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Membership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25E1090" w14:textId="0EF5917E" w:rsidR="008F7C45" w:rsidRDefault="008F7C45">
          <w:pPr>
            <w:pStyle w:val="TOC2"/>
            <w:rPr>
              <w:rFonts w:eastAsiaTheme="minorEastAsia"/>
              <w:bCs w:val="0"/>
              <w:noProof/>
              <w:color w:val="auto"/>
              <w:sz w:val="22"/>
              <w:szCs w:val="22"/>
              <w:lang w:val="en-CA" w:eastAsia="en-CA"/>
            </w:rPr>
          </w:pPr>
          <w:r>
            <w:rPr>
              <w:noProof/>
            </w:rPr>
            <w:t>Legislative Committee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_Toc6565714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2879EE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2C4C8815" w14:textId="530DFF89" w:rsidR="00C36963" w:rsidRDefault="002106E9" w:rsidP="008F7C45">
          <w:pPr>
            <w:pStyle w:val="TOC1"/>
          </w:pPr>
          <w:r>
            <w:rPr>
              <w:b w:val="0"/>
              <w:bCs w:val="0"/>
              <w:caps w:val="0"/>
            </w:rPr>
            <w:fldChar w:fldCharType="end"/>
          </w:r>
        </w:p>
      </w:sdtContent>
    </w:sdt>
    <w:p w14:paraId="0F0D60BA" w14:textId="77777777" w:rsidR="00C36963" w:rsidRDefault="00C36963">
      <w:pPr>
        <w:sectPr w:rsidR="00C36963">
          <w:pgSz w:w="12240" w:h="15840"/>
          <w:pgMar w:top="2520" w:right="1800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0F4483E9" w14:textId="77777777" w:rsidR="00C36963" w:rsidRDefault="002106E9" w:rsidP="00494352">
      <w:pPr>
        <w:pStyle w:val="Heading1"/>
        <w:spacing w:after="0"/>
      </w:pPr>
      <w:bookmarkStart w:id="0" w:name="_Toc6565696"/>
      <w:r w:rsidRPr="002106E9">
        <w:rPr>
          <w:rStyle w:val="Emphasis"/>
          <w:color w:val="0070C0"/>
        </w:rPr>
        <w:lastRenderedPageBreak/>
        <w:t xml:space="preserve">Purpose </w:t>
      </w:r>
      <w:r w:rsidR="00A95A8F">
        <w:br/>
      </w:r>
      <w:r>
        <w:t>of report</w:t>
      </w:r>
      <w:bookmarkEnd w:id="0"/>
    </w:p>
    <w:p w14:paraId="24490E71" w14:textId="77777777" w:rsidR="00494352" w:rsidRDefault="00494352"/>
    <w:p w14:paraId="528527EF" w14:textId="6B65704F" w:rsidR="00C36963" w:rsidRDefault="007B710C">
      <w:r>
        <w:t>The board and the ITPA office</w:t>
      </w:r>
      <w:r w:rsidR="002106E9">
        <w:t xml:space="preserve"> provide transparency to the ITPA</w:t>
      </w:r>
      <w:r>
        <w:t xml:space="preserve"> members. T</w:t>
      </w:r>
      <w:r w:rsidR="002106E9">
        <w:t xml:space="preserve">his report serves as an update to the Board and its members. The report will communicate </w:t>
      </w:r>
      <w:r w:rsidR="007E66F3">
        <w:t xml:space="preserve">the </w:t>
      </w:r>
      <w:r w:rsidR="002106E9">
        <w:t>current status and projects as well as the association direction.</w:t>
      </w:r>
    </w:p>
    <w:p w14:paraId="592138BC" w14:textId="77777777" w:rsidR="000D33C7" w:rsidRDefault="000D33C7"/>
    <w:p w14:paraId="5902599E" w14:textId="77777777" w:rsidR="000D33C7" w:rsidRDefault="000D33C7">
      <w:r>
        <w:br w:type="page"/>
      </w:r>
    </w:p>
    <w:p w14:paraId="3715BA39" w14:textId="77777777" w:rsidR="002106E9" w:rsidRPr="002106E9" w:rsidRDefault="002106E9" w:rsidP="002106E9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1" w:name="_Toc6565697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Latest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board meeting</w:t>
      </w:r>
      <w:bookmarkEnd w:id="1"/>
    </w:p>
    <w:p w14:paraId="2B0F9959" w14:textId="3D0A190B" w:rsidR="002106E9" w:rsidRPr="00F66DB4" w:rsidRDefault="00EC52A9" w:rsidP="00A00758">
      <w:pPr>
        <w:rPr>
          <w:sz w:val="36"/>
          <w:szCs w:val="36"/>
        </w:rPr>
      </w:pPr>
      <w:r>
        <w:rPr>
          <w:sz w:val="36"/>
          <w:szCs w:val="36"/>
        </w:rPr>
        <w:t>Fall</w:t>
      </w:r>
      <w:r w:rsidR="00F66DB4" w:rsidRPr="00F66DB4">
        <w:rPr>
          <w:sz w:val="36"/>
          <w:szCs w:val="36"/>
        </w:rPr>
        <w:t xml:space="preserve"> Board Meeting:</w:t>
      </w:r>
    </w:p>
    <w:p w14:paraId="34D720EF" w14:textId="08F8B8E3" w:rsidR="00F66DB4" w:rsidRDefault="00AA21CF" w:rsidP="00A00758">
      <w:r>
        <w:t xml:space="preserve">Chairman </w:t>
      </w:r>
      <w:r w:rsidR="006368F1">
        <w:t xml:space="preserve">Shawn </w:t>
      </w:r>
      <w:proofErr w:type="spellStart"/>
      <w:r w:rsidR="006368F1">
        <w:t>Andringa</w:t>
      </w:r>
      <w:proofErr w:type="spellEnd"/>
      <w:r>
        <w:t xml:space="preserve"> </w:t>
      </w:r>
      <w:r w:rsidR="00F010F8">
        <w:t xml:space="preserve">opened discussions on </w:t>
      </w:r>
      <w:r w:rsidR="00D266CF">
        <w:t>Q&amp;A session before board meetings</w:t>
      </w:r>
      <w:r>
        <w:t>.</w:t>
      </w:r>
    </w:p>
    <w:p w14:paraId="034DB52D" w14:textId="191E6EEE" w:rsidR="00F66DB4" w:rsidRDefault="009A5686" w:rsidP="00A00758">
      <w:r>
        <w:t xml:space="preserve">The board is very accessible through phone and email, the board also has a </w:t>
      </w:r>
      <w:proofErr w:type="gramStart"/>
      <w:r>
        <w:t>30 minute</w:t>
      </w:r>
      <w:proofErr w:type="gramEnd"/>
      <w:r>
        <w:t xml:space="preserve"> open session before the board meeting for </w:t>
      </w:r>
      <w:r w:rsidR="003B1615">
        <w:t xml:space="preserve">all </w:t>
      </w:r>
      <w:r>
        <w:t xml:space="preserve">members to discuss issues. After the </w:t>
      </w:r>
      <w:proofErr w:type="gramStart"/>
      <w:r>
        <w:t>30 minute</w:t>
      </w:r>
      <w:proofErr w:type="gramEnd"/>
      <w:r>
        <w:t xml:space="preserve"> session, </w:t>
      </w:r>
      <w:r w:rsidR="004722B2">
        <w:t xml:space="preserve">all but the board members are </w:t>
      </w:r>
      <w:r>
        <w:t xml:space="preserve">excused for the board meeting. </w:t>
      </w:r>
      <w:r w:rsidR="001B3383">
        <w:t xml:space="preserve">The </w:t>
      </w:r>
      <w:r w:rsidR="006D4225">
        <w:t>open session w</w:t>
      </w:r>
      <w:r w:rsidR="0065197B">
        <w:t>ith</w:t>
      </w:r>
      <w:r w:rsidR="006D4225">
        <w:t xml:space="preserve"> </w:t>
      </w:r>
      <w:r w:rsidR="0065197B">
        <w:t xml:space="preserve">members and </w:t>
      </w:r>
      <w:r w:rsidR="001B3383">
        <w:t xml:space="preserve">board </w:t>
      </w:r>
      <w:r w:rsidR="0065197B">
        <w:t xml:space="preserve">members </w:t>
      </w:r>
      <w:r w:rsidR="008B3973">
        <w:t>was standing room only</w:t>
      </w:r>
      <w:r w:rsidR="00CB7A3F">
        <w:t xml:space="preserve">. </w:t>
      </w:r>
    </w:p>
    <w:p w14:paraId="0D4CCAEF" w14:textId="77777777" w:rsidR="00133DD5" w:rsidRDefault="00CA1E95" w:rsidP="00B24A2D">
      <w:r>
        <w:t>At the official B</w:t>
      </w:r>
      <w:r w:rsidR="001B3383">
        <w:t xml:space="preserve">oard </w:t>
      </w:r>
      <w:r>
        <w:t>Meeting</w:t>
      </w:r>
      <w:r w:rsidR="00692E35">
        <w:t xml:space="preserve">, the board </w:t>
      </w:r>
      <w:r w:rsidR="00D266CF">
        <w:t>discussed</w:t>
      </w:r>
      <w:r w:rsidR="00133DD5">
        <w:t>:</w:t>
      </w:r>
    </w:p>
    <w:p w14:paraId="31F80893" w14:textId="74CB6CD5" w:rsidR="00133DD5" w:rsidRDefault="00133DD5" w:rsidP="00133DD5">
      <w:pPr>
        <w:pStyle w:val="ListParagraph"/>
        <w:numPr>
          <w:ilvl w:val="0"/>
          <w:numId w:val="24"/>
        </w:numPr>
      </w:pPr>
      <w:r>
        <w:t>t</w:t>
      </w:r>
      <w:r w:rsidR="00C22F04">
        <w:t xml:space="preserve">he importance </w:t>
      </w:r>
      <w:r w:rsidR="0018120C">
        <w:t xml:space="preserve">of </w:t>
      </w:r>
      <w:r w:rsidR="00692E35">
        <w:t xml:space="preserve">Strategic Planning </w:t>
      </w:r>
      <w:r w:rsidR="007B7ADD">
        <w:t xml:space="preserve">and </w:t>
      </w:r>
      <w:r w:rsidR="0018120C">
        <w:t xml:space="preserve">the </w:t>
      </w:r>
      <w:r w:rsidR="007B7ADD">
        <w:t xml:space="preserve">upcoming audit for </w:t>
      </w:r>
      <w:r w:rsidR="0018120C">
        <w:t xml:space="preserve">2015-2020 in </w:t>
      </w:r>
      <w:r w:rsidR="007B7ADD">
        <w:t xml:space="preserve">2021. </w:t>
      </w:r>
    </w:p>
    <w:p w14:paraId="0E22F940" w14:textId="032CBDBB" w:rsidR="00B24A2D" w:rsidRDefault="00133DD5" w:rsidP="00133DD5">
      <w:pPr>
        <w:pStyle w:val="ListParagraph"/>
        <w:numPr>
          <w:ilvl w:val="0"/>
          <w:numId w:val="24"/>
        </w:numPr>
      </w:pPr>
      <w:r>
        <w:t>t</w:t>
      </w:r>
      <w:r w:rsidR="00213FE9">
        <w:t xml:space="preserve">he membership </w:t>
      </w:r>
      <w:proofErr w:type="gramStart"/>
      <w:r w:rsidR="00213FE9">
        <w:t>process</w:t>
      </w:r>
      <w:proofErr w:type="gramEnd"/>
      <w:r>
        <w:t>. It</w:t>
      </w:r>
      <w:r w:rsidR="00213FE9">
        <w:t xml:space="preserve"> </w:t>
      </w:r>
      <w:r w:rsidR="005C75FB">
        <w:t xml:space="preserve">is complex and time consuming for both the potential member and the ITPA. </w:t>
      </w:r>
      <w:r w:rsidR="00C22F04">
        <w:t xml:space="preserve">After a lengthy discussion, it was decided to deal with it at the strategic planning meeting in 2020. </w:t>
      </w:r>
    </w:p>
    <w:p w14:paraId="6856ACB5" w14:textId="7E6DF0D5" w:rsidR="004D338B" w:rsidRDefault="004D338B" w:rsidP="00A00758"/>
    <w:p w14:paraId="6C8E6AA1" w14:textId="5B5AD0E4" w:rsidR="00494352" w:rsidRDefault="00B41A53">
      <w:r>
        <w:t>Reliable Transmission</w:t>
      </w:r>
      <w:r w:rsidR="004D338B">
        <w:t xml:space="preserve"> and </w:t>
      </w:r>
      <w:r>
        <w:t xml:space="preserve">Quality Parts </w:t>
      </w:r>
      <w:r w:rsidR="00F66DB4">
        <w:t>w</w:t>
      </w:r>
      <w:r w:rsidR="00B12569">
        <w:t>ere</w:t>
      </w:r>
      <w:r w:rsidR="00F66DB4">
        <w:t xml:space="preserve"> voted into membership.</w:t>
      </w:r>
      <w:r w:rsidR="00494352">
        <w:br w:type="page"/>
      </w:r>
    </w:p>
    <w:p w14:paraId="63E60CBF" w14:textId="2E0D684C" w:rsidR="00494352" w:rsidRPr="002106E9" w:rsidRDefault="00494352" w:rsidP="00494352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2" w:name="_Toc6565698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Operational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2"/>
    </w:p>
    <w:p w14:paraId="2FC376C9" w14:textId="78D05E16" w:rsidR="00494352" w:rsidRPr="009B01BA" w:rsidRDefault="00494352" w:rsidP="00A00758">
      <w:pPr>
        <w:rPr>
          <w:sz w:val="2"/>
        </w:rPr>
      </w:pPr>
    </w:p>
    <w:p w14:paraId="12A232B3" w14:textId="1B57C6C3" w:rsidR="005441A6" w:rsidRDefault="005441A6" w:rsidP="00A00758"/>
    <w:p w14:paraId="3C458E34" w14:textId="550974EB" w:rsidR="008D65F5" w:rsidRDefault="008D65F5" w:rsidP="008D65F5">
      <w:pPr>
        <w:pStyle w:val="Heading2"/>
      </w:pPr>
      <w:bookmarkStart w:id="3" w:name="_Toc6565700"/>
      <w:r>
        <w:t>2020 Spring</w:t>
      </w:r>
      <w:bookmarkEnd w:id="3"/>
      <w:r>
        <w:t xml:space="preserve"> </w:t>
      </w:r>
      <w:r w:rsidR="00445107">
        <w:t>(Philadelphia, PA)</w:t>
      </w:r>
    </w:p>
    <w:p w14:paraId="3C30809E" w14:textId="71E65B42" w:rsidR="008D65F5" w:rsidRDefault="00AC4AA1" w:rsidP="008D65F5">
      <w:r>
        <w:t>Space has been reserved at the Crown Plaza Cherry Hill (Philadelphia), PA</w:t>
      </w:r>
      <w:r w:rsidR="008518DF">
        <w:t>. Dates: April 15-17, 2020.</w:t>
      </w:r>
    </w:p>
    <w:p w14:paraId="5B151E3D" w14:textId="2394813E" w:rsidR="008D65F5" w:rsidRDefault="008D65F5" w:rsidP="008D65F5">
      <w:pPr>
        <w:pStyle w:val="Heading2"/>
      </w:pPr>
      <w:bookmarkStart w:id="4" w:name="_Toc6565701"/>
      <w:r>
        <w:t>2020 Fall</w:t>
      </w:r>
      <w:bookmarkEnd w:id="4"/>
      <w:r>
        <w:t xml:space="preserve"> </w:t>
      </w:r>
      <w:r w:rsidR="00445107">
        <w:t>(Phoenix, AZ)</w:t>
      </w:r>
    </w:p>
    <w:p w14:paraId="3B4F458B" w14:textId="64D62992" w:rsidR="008518DF" w:rsidRDefault="008518DF" w:rsidP="008518DF">
      <w:r>
        <w:t xml:space="preserve">Space has been reserved at </w:t>
      </w:r>
      <w:r w:rsidR="0071048E">
        <w:t>T</w:t>
      </w:r>
      <w:r>
        <w:t xml:space="preserve">he </w:t>
      </w:r>
      <w:r w:rsidR="0071048E">
        <w:t>Wigwam</w:t>
      </w:r>
      <w:r>
        <w:t xml:space="preserve">, </w:t>
      </w:r>
      <w:r w:rsidR="0071048E">
        <w:t>Phoenix, AZ</w:t>
      </w:r>
      <w:r>
        <w:t xml:space="preserve">. Dates: </w:t>
      </w:r>
      <w:r w:rsidR="006B7D91">
        <w:t>October 8</w:t>
      </w:r>
      <w:r>
        <w:t>-1</w:t>
      </w:r>
      <w:r w:rsidR="006B7D91">
        <w:t>0</w:t>
      </w:r>
      <w:r>
        <w:t>, 2020.</w:t>
      </w:r>
    </w:p>
    <w:p w14:paraId="33BCC09F" w14:textId="3C6F4B5F" w:rsidR="006B7D91" w:rsidRDefault="006B7D91" w:rsidP="006B7D91">
      <w:pPr>
        <w:pStyle w:val="Heading2"/>
      </w:pPr>
      <w:bookmarkStart w:id="5" w:name="_Toc6565702"/>
      <w:r>
        <w:t>2021 Spring</w:t>
      </w:r>
      <w:bookmarkEnd w:id="5"/>
      <w:r w:rsidR="00445107">
        <w:t xml:space="preserve"> (Cin</w:t>
      </w:r>
      <w:r w:rsidR="002130E8">
        <w:t>cinnati, OH)</w:t>
      </w:r>
    </w:p>
    <w:p w14:paraId="6B365639" w14:textId="56D10BB1" w:rsidR="006B7D91" w:rsidRDefault="006B7D91" w:rsidP="006B7D91">
      <w:r>
        <w:t xml:space="preserve">Space has been reserved at The </w:t>
      </w:r>
      <w:r w:rsidR="00616E4E">
        <w:t>Netherland Hilton</w:t>
      </w:r>
      <w:r>
        <w:t xml:space="preserve">, </w:t>
      </w:r>
      <w:r w:rsidR="001F02F7">
        <w:t>Cincinnati</w:t>
      </w:r>
      <w:r>
        <w:t xml:space="preserve">, </w:t>
      </w:r>
      <w:r w:rsidR="001F02F7">
        <w:t>OH</w:t>
      </w:r>
      <w:r>
        <w:t xml:space="preserve">. Dates: </w:t>
      </w:r>
      <w:r w:rsidR="001F02F7">
        <w:t>April 14</w:t>
      </w:r>
      <w:r>
        <w:t>-1</w:t>
      </w:r>
      <w:r w:rsidR="001F02F7">
        <w:t>6</w:t>
      </w:r>
      <w:r>
        <w:t>, 202</w:t>
      </w:r>
      <w:r w:rsidR="001F02F7">
        <w:t>1</w:t>
      </w:r>
      <w:r>
        <w:t>.</w:t>
      </w:r>
    </w:p>
    <w:p w14:paraId="7279FDA2" w14:textId="4E6B8872" w:rsidR="00B12569" w:rsidRDefault="00B12569" w:rsidP="00B12569">
      <w:pPr>
        <w:pStyle w:val="Heading2"/>
      </w:pPr>
      <w:bookmarkStart w:id="6" w:name="_Toc6565699"/>
      <w:r>
        <w:t>20</w:t>
      </w:r>
      <w:r w:rsidR="00722B5E">
        <w:t>21</w:t>
      </w:r>
      <w:r>
        <w:t xml:space="preserve"> Fall (Destin, FL)</w:t>
      </w:r>
      <w:bookmarkEnd w:id="6"/>
      <w:r>
        <w:t xml:space="preserve"> </w:t>
      </w:r>
    </w:p>
    <w:p w14:paraId="4D041C59" w14:textId="764A8147" w:rsidR="00B12569" w:rsidRDefault="00B12569" w:rsidP="00B12569">
      <w:r>
        <w:t xml:space="preserve">Space has been reserved at The </w:t>
      </w:r>
      <w:r w:rsidR="002A7132">
        <w:t>Henderson</w:t>
      </w:r>
      <w:r>
        <w:t>. Dates: October 1</w:t>
      </w:r>
      <w:r w:rsidR="00252A79">
        <w:t>4</w:t>
      </w:r>
      <w:r>
        <w:t>-1</w:t>
      </w:r>
      <w:r w:rsidR="00252A79">
        <w:t>6</w:t>
      </w:r>
      <w:r>
        <w:t>, 20</w:t>
      </w:r>
      <w:r w:rsidR="00252A79">
        <w:t>21</w:t>
      </w:r>
      <w:r>
        <w:t>.</w:t>
      </w:r>
    </w:p>
    <w:p w14:paraId="57B78729" w14:textId="1B62E09A" w:rsidR="000D33C7" w:rsidRDefault="000D33C7" w:rsidP="008D65F5">
      <w:r>
        <w:br w:type="page"/>
      </w:r>
    </w:p>
    <w:p w14:paraId="16688A0E" w14:textId="3759D3A4" w:rsidR="000D33C7" w:rsidRPr="002106E9" w:rsidRDefault="000D33C7" w:rsidP="000D33C7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7" w:name="_Toc6565703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Membership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7"/>
    </w:p>
    <w:p w14:paraId="5545D9BE" w14:textId="1E27587B" w:rsidR="000D33C7" w:rsidRDefault="000D33C7" w:rsidP="00A00758"/>
    <w:p w14:paraId="407D5DC1" w14:textId="283363EF" w:rsidR="009243ED" w:rsidRDefault="009243ED" w:rsidP="009243ED">
      <w:pPr>
        <w:pStyle w:val="Heading2"/>
      </w:pPr>
      <w:bookmarkStart w:id="8" w:name="_Toc6565704"/>
      <w:r>
        <w:t>Current Membership</w:t>
      </w:r>
      <w:bookmarkEnd w:id="8"/>
    </w:p>
    <w:p w14:paraId="36E242CE" w14:textId="5F4151DD" w:rsidR="000D33C7" w:rsidRDefault="007A0B13" w:rsidP="009243ED">
      <w:pPr>
        <w:jc w:val="center"/>
      </w:pPr>
      <w:r>
        <w:rPr>
          <w:noProof/>
        </w:rPr>
        <w:drawing>
          <wp:inline distT="0" distB="0" distL="0" distR="0" wp14:anchorId="72C195C1" wp14:editId="079AF8A4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EA43712-0854-460D-83E8-6364EBE76A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28176F" w14:textId="6057D45F" w:rsidR="000D33C7" w:rsidRDefault="009243ED" w:rsidP="00A00758">
      <w:r>
        <w:t>*</w:t>
      </w:r>
      <w:r w:rsidR="00232B08">
        <w:t>201</w:t>
      </w:r>
      <w:r w:rsidR="002B1A63">
        <w:t>9</w:t>
      </w:r>
      <w:r w:rsidR="00232B08">
        <w:t xml:space="preserve"> a</w:t>
      </w:r>
      <w:r>
        <w:t xml:space="preserve">s of </w:t>
      </w:r>
      <w:r w:rsidR="00481047">
        <w:t>Fall</w:t>
      </w:r>
      <w:r w:rsidR="00492350">
        <w:t xml:space="preserve"> </w:t>
      </w:r>
      <w:r>
        <w:t>Meeting</w:t>
      </w:r>
    </w:p>
    <w:p w14:paraId="0F8BE9EC" w14:textId="1D9ECC25" w:rsidR="00047CDB" w:rsidRDefault="00047CDB">
      <w:r>
        <w:br w:type="page"/>
      </w:r>
    </w:p>
    <w:p w14:paraId="700A7A89" w14:textId="77777777" w:rsidR="000D33C7" w:rsidRDefault="000D33C7" w:rsidP="00A00758"/>
    <w:p w14:paraId="1902865D" w14:textId="445EB81C" w:rsidR="009243ED" w:rsidRDefault="0032638D" w:rsidP="009243ED">
      <w:pPr>
        <w:pStyle w:val="Heading2"/>
      </w:pPr>
      <w:bookmarkStart w:id="9" w:name="_Toc6565705"/>
      <w:r>
        <w:t>201</w:t>
      </w:r>
      <w:r w:rsidR="007A0B13">
        <w:t>9</w:t>
      </w:r>
      <w:r>
        <w:t xml:space="preserve"> A</w:t>
      </w:r>
      <w:r w:rsidR="009243ED">
        <w:t>dditions</w:t>
      </w:r>
      <w:bookmarkEnd w:id="9"/>
    </w:p>
    <w:p w14:paraId="7D9942F8" w14:textId="02A606A4" w:rsidR="00DA7E87" w:rsidRDefault="00481047">
      <w:r>
        <w:t>Quality Parts Supply</w:t>
      </w:r>
      <w:r w:rsidR="00DA7E87">
        <w:br/>
      </w:r>
      <w:r w:rsidR="00C218A8">
        <w:t xml:space="preserve">Reliable </w:t>
      </w:r>
      <w:proofErr w:type="spellStart"/>
      <w:r w:rsidR="00C218A8">
        <w:t>Transmision</w:t>
      </w:r>
      <w:proofErr w:type="spellEnd"/>
    </w:p>
    <w:p w14:paraId="269A3F4D" w14:textId="77777777" w:rsidR="009243ED" w:rsidRDefault="009243ED" w:rsidP="009243ED"/>
    <w:p w14:paraId="7576B71B" w14:textId="6158F286" w:rsidR="009243ED" w:rsidRDefault="009243ED" w:rsidP="009243ED">
      <w:pPr>
        <w:pStyle w:val="Heading2"/>
      </w:pPr>
      <w:bookmarkStart w:id="10" w:name="_Toc6565706"/>
      <w:r>
        <w:t>201</w:t>
      </w:r>
      <w:r w:rsidR="00CF10BF">
        <w:t>9</w:t>
      </w:r>
      <w:r>
        <w:t xml:space="preserve"> Cancellations</w:t>
      </w:r>
      <w:bookmarkEnd w:id="10"/>
    </w:p>
    <w:p w14:paraId="5E3FC89B" w14:textId="0F3EFBAE" w:rsidR="009243ED" w:rsidRDefault="00CF10BF" w:rsidP="009243ED">
      <w:pPr>
        <w:spacing w:after="0"/>
      </w:pPr>
      <w:r>
        <w:t>Erickson Trucks N Parts</w:t>
      </w:r>
      <w:r w:rsidR="00350518">
        <w:t xml:space="preserve"> – </w:t>
      </w:r>
      <w:r>
        <w:t>No response on collection</w:t>
      </w:r>
      <w:r w:rsidR="00350518">
        <w:t xml:space="preserve"> </w:t>
      </w:r>
    </w:p>
    <w:p w14:paraId="4E52B5B6" w14:textId="30D97107" w:rsidR="009243ED" w:rsidRDefault="00783930" w:rsidP="009243ED">
      <w:pPr>
        <w:spacing w:after="0"/>
      </w:pPr>
      <w:r>
        <w:t>Kurt’s Truck Parts</w:t>
      </w:r>
      <w:r w:rsidR="00232B08">
        <w:t xml:space="preserve"> </w:t>
      </w:r>
      <w:r w:rsidR="009243ED">
        <w:t xml:space="preserve">– </w:t>
      </w:r>
      <w:r>
        <w:t>No response on collection</w:t>
      </w:r>
    </w:p>
    <w:p w14:paraId="7310EB85" w14:textId="174851FA" w:rsidR="00350518" w:rsidRDefault="00783930" w:rsidP="009243ED">
      <w:pPr>
        <w:spacing w:after="0"/>
      </w:pPr>
      <w:r>
        <w:t>Wayne Built &amp; Son</w:t>
      </w:r>
      <w:r w:rsidR="00350518">
        <w:t xml:space="preserve"> - </w:t>
      </w:r>
      <w:r w:rsidR="00243738">
        <w:t>No response on collection</w:t>
      </w:r>
    </w:p>
    <w:p w14:paraId="4C7DABAD" w14:textId="3C30D6F0" w:rsidR="00243738" w:rsidRDefault="00243738" w:rsidP="009243ED">
      <w:pPr>
        <w:spacing w:after="0"/>
      </w:pPr>
      <w:r>
        <w:t>P&amp;S Trucks &amp; Parts – Business is up for sale</w:t>
      </w:r>
      <w:r>
        <w:br/>
      </w:r>
      <w:proofErr w:type="spellStart"/>
      <w:r w:rsidR="00B55286">
        <w:t>Margala</w:t>
      </w:r>
      <w:proofErr w:type="spellEnd"/>
      <w:r w:rsidR="00B55286">
        <w:t xml:space="preserve"> &amp; Sons – Cancelled</w:t>
      </w:r>
      <w:r w:rsidR="00B55286">
        <w:br/>
        <w:t xml:space="preserve">Heavy Truck Salvage </w:t>
      </w:r>
      <w:r w:rsidR="004E5157">
        <w:t>–</w:t>
      </w:r>
      <w:r w:rsidR="00B55286">
        <w:t xml:space="preserve"> </w:t>
      </w:r>
      <w:r w:rsidR="004E5157">
        <w:t>Removed as under new ownership</w:t>
      </w:r>
      <w:r w:rsidR="00B55286">
        <w:br/>
      </w:r>
    </w:p>
    <w:p w14:paraId="68024394" w14:textId="77777777" w:rsidR="00047CDB" w:rsidRDefault="00047CDB" w:rsidP="00047CDB"/>
    <w:p w14:paraId="417E48EB" w14:textId="77777777" w:rsidR="00047CDB" w:rsidRDefault="00047CDB" w:rsidP="00047CDB"/>
    <w:p w14:paraId="233068C1" w14:textId="35BADEB1" w:rsidR="00047CDB" w:rsidRDefault="00047CDB">
      <w:r>
        <w:br w:type="page"/>
      </w:r>
    </w:p>
    <w:p w14:paraId="090BF4D5" w14:textId="65B857C8" w:rsidR="00047CDB" w:rsidRPr="002106E9" w:rsidRDefault="00047CDB" w:rsidP="00047CDB">
      <w:pPr>
        <w:keepNext/>
        <w:keepLines/>
        <w:spacing w:after="3700" w:line="240" w:lineRule="auto"/>
        <w:contextualSpacing/>
        <w:outlineLvl w:val="0"/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</w:pPr>
      <w:bookmarkStart w:id="11" w:name="_Toc6565707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Financial</w:t>
      </w:r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  <w:r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t>Update</w:t>
      </w:r>
      <w:bookmarkEnd w:id="11"/>
    </w:p>
    <w:p w14:paraId="1CDF6F4D" w14:textId="5EFBB795" w:rsidR="00FC6973" w:rsidRDefault="00FC6973"/>
    <w:p w14:paraId="24C875CE" w14:textId="6612D239" w:rsidR="00395C7D" w:rsidRDefault="00775ADD" w:rsidP="00AD30D3">
      <w:pPr>
        <w:autoSpaceDE w:val="0"/>
        <w:autoSpaceDN w:val="0"/>
        <w:adjustRightInd w:val="0"/>
        <w:spacing w:after="0" w:line="240" w:lineRule="auto"/>
        <w:rPr>
          <w:rFonts w:ascii="Helvetica-Normal,Bold" w:hAnsi="Helvetica-Normal,Bold" w:cs="Helvetica-Normal,Bold"/>
          <w:b/>
          <w:bCs/>
          <w:sz w:val="18"/>
          <w:szCs w:val="18"/>
          <w:lang w:val="en-CA"/>
        </w:rPr>
      </w:pPr>
      <w:r>
        <w:rPr>
          <w:rFonts w:ascii="Helvetica-Normal,Bold" w:hAnsi="Helvetica-Normal,Bold" w:cs="Helvetica-Normal,Bold"/>
          <w:b/>
          <w:bCs/>
          <w:noProof/>
          <w:sz w:val="18"/>
          <w:szCs w:val="18"/>
          <w:lang w:val="en-CA"/>
        </w:rPr>
        <w:lastRenderedPageBreak/>
        <w:drawing>
          <wp:inline distT="0" distB="0" distL="0" distR="0" wp14:anchorId="467CB7B7" wp14:editId="30F29A36">
            <wp:extent cx="5486400" cy="712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30E6" w14:textId="4E4F61B2" w:rsidR="004F016F" w:rsidRDefault="00EC4EA4" w:rsidP="00395C7D">
      <w:r>
        <w:rPr>
          <w:noProof/>
        </w:rPr>
        <w:lastRenderedPageBreak/>
        <w:drawing>
          <wp:inline distT="0" distB="0" distL="0" distR="0" wp14:anchorId="5A611104" wp14:editId="5663BB7C">
            <wp:extent cx="5486400" cy="5705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ABFCC" w14:textId="0DB5BCE0" w:rsidR="00FC6973" w:rsidRDefault="00FC6973" w:rsidP="00395C7D">
      <w:r>
        <w:br w:type="page"/>
      </w:r>
    </w:p>
    <w:p w14:paraId="057F07BF" w14:textId="3C4039A0" w:rsidR="00FC6973" w:rsidRDefault="009159B0" w:rsidP="00FC6973">
      <w:pPr>
        <w:pStyle w:val="Heading2"/>
      </w:pPr>
      <w:bookmarkStart w:id="12" w:name="_Toc6565708"/>
      <w:r>
        <w:rPr>
          <w:noProof/>
        </w:rPr>
        <w:lastRenderedPageBreak/>
        <w:drawing>
          <wp:inline distT="0" distB="0" distL="0" distR="0" wp14:anchorId="1E75DAE8" wp14:editId="6F017DA7">
            <wp:extent cx="5486400" cy="715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9E4">
        <w:rPr>
          <w:noProof/>
        </w:rPr>
        <w:lastRenderedPageBreak/>
        <w:drawing>
          <wp:inline distT="0" distB="0" distL="0" distR="0" wp14:anchorId="26ABB09C" wp14:editId="093E73AA">
            <wp:extent cx="5476875" cy="70580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994">
        <w:rPr>
          <w:noProof/>
        </w:rPr>
        <w:lastRenderedPageBreak/>
        <w:drawing>
          <wp:inline distT="0" distB="0" distL="0" distR="0" wp14:anchorId="50E8EF6D" wp14:editId="06EF7E67">
            <wp:extent cx="6350696" cy="8048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ITPA0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726" cy="806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994">
        <w:rPr>
          <w:noProof/>
        </w:rPr>
        <w:lastRenderedPageBreak/>
        <w:drawing>
          <wp:inline distT="0" distB="0" distL="0" distR="0" wp14:anchorId="03CBEA50" wp14:editId="1083EB31">
            <wp:extent cx="6257925" cy="8054181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9ITPA0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193" cy="806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  <w:r w:rsidR="002879EE" w:rsidRPr="002879EE">
        <w:rPr>
          <w:rFonts w:eastAsiaTheme="majorEastAsia"/>
          <w:iCs/>
          <w:color w:val="0070C0"/>
          <w:sz w:val="90"/>
          <w:szCs w:val="32"/>
        </w:rPr>
        <w:t xml:space="preserve"> </w:t>
      </w:r>
      <w:r w:rsidR="002879EE">
        <w:rPr>
          <w:rFonts w:eastAsiaTheme="majorEastAsia"/>
          <w:iCs/>
          <w:color w:val="0070C0"/>
          <w:sz w:val="90"/>
          <w:szCs w:val="32"/>
        </w:rPr>
        <w:lastRenderedPageBreak/>
        <w:t>Sponsors</w:t>
      </w:r>
    </w:p>
    <w:p w14:paraId="6F3D5752" w14:textId="79AAC3A2" w:rsidR="007E66F3" w:rsidRDefault="001E59FA" w:rsidP="00047CDB">
      <w:r>
        <w:rPr>
          <w:noProof/>
        </w:rPr>
        <w:drawing>
          <wp:inline distT="0" distB="0" distL="0" distR="0" wp14:anchorId="703AB6CC" wp14:editId="10FA9ECC">
            <wp:extent cx="5486400" cy="4686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798E" w14:textId="77777777" w:rsidR="007E66F3" w:rsidRDefault="007E66F3" w:rsidP="00047CDB"/>
    <w:p w14:paraId="57BB1F43" w14:textId="02C37B87" w:rsidR="00FC6973" w:rsidRDefault="00FC6973" w:rsidP="00047CDB">
      <w:r>
        <w:t xml:space="preserve">Sponsors </w:t>
      </w:r>
      <w:r w:rsidR="007E66F3">
        <w:t xml:space="preserve">are </w:t>
      </w:r>
      <w:r w:rsidR="002B3C34">
        <w:t xml:space="preserve">an </w:t>
      </w:r>
      <w:r w:rsidR="007E66F3">
        <w:t xml:space="preserve">important </w:t>
      </w:r>
      <w:r w:rsidR="002B3C34">
        <w:t>part of</w:t>
      </w:r>
      <w:r w:rsidR="007E66F3">
        <w:t xml:space="preserve"> the ITPA budget. They </w:t>
      </w:r>
      <w:r>
        <w:t>contribute $1000 per meeting.</w:t>
      </w:r>
    </w:p>
    <w:p w14:paraId="65E98458" w14:textId="7D2F379B" w:rsidR="00FC6973" w:rsidRDefault="00FC6973" w:rsidP="00047CDB"/>
    <w:p w14:paraId="17753FB4" w14:textId="080E4CCE" w:rsidR="007E66F3" w:rsidRDefault="007E66F3">
      <w:r>
        <w:br w:type="page"/>
      </w:r>
    </w:p>
    <w:p w14:paraId="27A53F66" w14:textId="4865A19B" w:rsidR="00FC6973" w:rsidRDefault="007E66F3" w:rsidP="007E66F3">
      <w:pPr>
        <w:keepNext/>
        <w:keepLines/>
        <w:spacing w:line="240" w:lineRule="auto"/>
        <w:contextualSpacing/>
        <w:outlineLvl w:val="0"/>
      </w:pPr>
      <w:bookmarkStart w:id="13" w:name="_Toc6565709"/>
      <w:r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lastRenderedPageBreak/>
        <w:t>Governance</w:t>
      </w:r>
      <w:bookmarkEnd w:id="13"/>
      <w:r w:rsidRPr="002106E9">
        <w:rPr>
          <w:rFonts w:asciiTheme="majorHAnsi" w:eastAsiaTheme="majorEastAsia" w:hAnsiTheme="majorHAnsi" w:cstheme="majorBidi"/>
          <w:b/>
          <w:iCs/>
          <w:caps/>
          <w:color w:val="0070C0"/>
          <w:sz w:val="90"/>
          <w:szCs w:val="32"/>
        </w:rPr>
        <w:t xml:space="preserve"> </w:t>
      </w:r>
      <w:r w:rsidRPr="002106E9">
        <w:rPr>
          <w:rFonts w:asciiTheme="majorHAnsi" w:eastAsiaTheme="majorEastAsia" w:hAnsiTheme="majorHAnsi" w:cstheme="majorBidi"/>
          <w:b/>
          <w:caps/>
          <w:color w:val="2A2A2A" w:themeColor="text2"/>
          <w:sz w:val="90"/>
          <w:szCs w:val="32"/>
        </w:rPr>
        <w:br/>
      </w:r>
    </w:p>
    <w:p w14:paraId="66AA49FF" w14:textId="77777777" w:rsidR="00A41853" w:rsidRDefault="00A41853" w:rsidP="00A41853">
      <w:pPr>
        <w:pStyle w:val="Heading2"/>
      </w:pPr>
      <w:bookmarkStart w:id="14" w:name="_Toc6565710"/>
      <w:r>
        <w:t>ITPA Board of directors</w:t>
      </w:r>
      <w:bookmarkEnd w:id="14"/>
    </w:p>
    <w:p w14:paraId="5DD7A1A5" w14:textId="3CA0A846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Rudy Niswanger</w:t>
      </w:r>
      <w:r>
        <w:rPr>
          <w:rFonts w:asciiTheme="majorHAnsi" w:hAnsiTheme="majorHAnsi"/>
          <w:sz w:val="28"/>
          <w:szCs w:val="28"/>
        </w:rPr>
        <w:t xml:space="preserve"> - Chair</w:t>
      </w:r>
      <w:r w:rsidRPr="00C603E0">
        <w:rPr>
          <w:rFonts w:asciiTheme="majorHAnsi" w:hAnsiTheme="majorHAnsi"/>
          <w:sz w:val="28"/>
          <w:szCs w:val="28"/>
        </w:rPr>
        <w:tab/>
      </w:r>
      <w:r w:rsidR="00E7670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Second Term ending Oct 2021</w:t>
      </w:r>
    </w:p>
    <w:p w14:paraId="553DBDA1" w14:textId="6B04CCE1" w:rsidR="00E7670A" w:rsidRDefault="00E7670A" w:rsidP="00E7670A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Ryan </w:t>
      </w:r>
      <w:proofErr w:type="spellStart"/>
      <w:r>
        <w:rPr>
          <w:rFonts w:asciiTheme="majorHAnsi" w:hAnsiTheme="majorHAnsi"/>
          <w:sz w:val="28"/>
          <w:szCs w:val="28"/>
        </w:rPr>
        <w:t>Hochmiller</w:t>
      </w:r>
      <w:proofErr w:type="spellEnd"/>
      <w:r>
        <w:rPr>
          <w:rFonts w:asciiTheme="majorHAnsi" w:hAnsiTheme="majorHAnsi"/>
          <w:sz w:val="28"/>
          <w:szCs w:val="28"/>
        </w:rPr>
        <w:t xml:space="preserve"> – Vice Chair</w:t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>First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34610E3C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 xml:space="preserve">Scott </w:t>
      </w:r>
      <w:r>
        <w:rPr>
          <w:rFonts w:asciiTheme="majorHAnsi" w:hAnsiTheme="majorHAnsi"/>
          <w:sz w:val="28"/>
          <w:szCs w:val="28"/>
        </w:rPr>
        <w:t>Liber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First</w:t>
      </w:r>
      <w:r w:rsidRPr="00C603E0">
        <w:rPr>
          <w:rFonts w:asciiTheme="majorHAnsi" w:hAnsiTheme="majorHAnsi"/>
          <w:sz w:val="28"/>
          <w:szCs w:val="28"/>
        </w:rPr>
        <w:t xml:space="preserve">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0A6BDEBB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>Andy Mundy</w:t>
      </w:r>
      <w:r w:rsidRPr="00C603E0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Second</w:t>
      </w:r>
      <w:r w:rsidRPr="00C603E0">
        <w:rPr>
          <w:rFonts w:asciiTheme="majorHAnsi" w:hAnsiTheme="majorHAnsi"/>
          <w:sz w:val="28"/>
          <w:szCs w:val="28"/>
        </w:rPr>
        <w:t xml:space="preserve"> Term ending Oct 20</w:t>
      </w:r>
      <w:r>
        <w:rPr>
          <w:rFonts w:asciiTheme="majorHAnsi" w:hAnsiTheme="majorHAnsi"/>
          <w:sz w:val="28"/>
          <w:szCs w:val="28"/>
        </w:rPr>
        <w:t>20</w:t>
      </w:r>
    </w:p>
    <w:p w14:paraId="674C519F" w14:textId="5D236008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 w:rsidRPr="00C603E0">
        <w:rPr>
          <w:rFonts w:asciiTheme="majorHAnsi" w:hAnsiTheme="majorHAnsi"/>
          <w:sz w:val="28"/>
          <w:szCs w:val="28"/>
        </w:rPr>
        <w:t xml:space="preserve">Sarah </w:t>
      </w:r>
      <w:r w:rsidR="00C506D1">
        <w:rPr>
          <w:rFonts w:asciiTheme="majorHAnsi" w:hAnsiTheme="majorHAnsi"/>
          <w:sz w:val="28"/>
          <w:szCs w:val="28"/>
        </w:rPr>
        <w:t>Barber</w:t>
      </w:r>
      <w:r w:rsidR="00830AFA"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Second Term ending Oct 2021</w:t>
      </w:r>
    </w:p>
    <w:p w14:paraId="75E4289C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Mark Harris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C603E0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First </w:t>
      </w:r>
      <w:r w:rsidRPr="00C603E0">
        <w:rPr>
          <w:rFonts w:asciiTheme="majorHAnsi" w:hAnsiTheme="majorHAnsi"/>
          <w:sz w:val="28"/>
          <w:szCs w:val="28"/>
        </w:rPr>
        <w:t>Term ending Oc</w:t>
      </w:r>
      <w:r>
        <w:rPr>
          <w:rFonts w:asciiTheme="majorHAnsi" w:hAnsiTheme="majorHAnsi"/>
          <w:sz w:val="28"/>
          <w:szCs w:val="28"/>
        </w:rPr>
        <w:t>t 2021</w:t>
      </w:r>
    </w:p>
    <w:p w14:paraId="35E67B6B" w14:textId="77777777" w:rsidR="00A41853" w:rsidRPr="00C603E0" w:rsidRDefault="00A41853" w:rsidP="00A41853">
      <w:pPr>
        <w:widowControl w:val="0"/>
        <w:ind w:left="360" w:hanging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Nick Comer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First Term ending Oct 2021</w:t>
      </w:r>
    </w:p>
    <w:p w14:paraId="66198665" w14:textId="77777777" w:rsidR="00A41853" w:rsidRDefault="00A41853" w:rsidP="00A41853">
      <w:pPr>
        <w:pStyle w:val="Heading2"/>
      </w:pPr>
      <w:bookmarkStart w:id="15" w:name="_Toc6565711"/>
      <w:r>
        <w:t>Convention Committee</w:t>
      </w:r>
      <w:bookmarkEnd w:id="15"/>
    </w:p>
    <w:p w14:paraId="7C45B850" w14:textId="604D1AB4" w:rsidR="00A41853" w:rsidRDefault="00AB1AD0" w:rsidP="00A41853">
      <w:r>
        <w:t xml:space="preserve">Ryan </w:t>
      </w:r>
      <w:proofErr w:type="spellStart"/>
      <w:r>
        <w:t>Hochmiller</w:t>
      </w:r>
      <w:proofErr w:type="spellEnd"/>
      <w:r w:rsidR="00A41853">
        <w:t xml:space="preserve"> - Committee Chair, Michelle Walls, Andy Reichert, Mike </w:t>
      </w:r>
      <w:proofErr w:type="spellStart"/>
      <w:r w:rsidR="00A41853">
        <w:t>Zakutny</w:t>
      </w:r>
      <w:proofErr w:type="spellEnd"/>
      <w:r w:rsidR="00A41853">
        <w:t>, Michael Chudacoff, Kyle Forster, Paresh Patel</w:t>
      </w:r>
      <w:r w:rsidR="009C1478">
        <w:t xml:space="preserve">, </w:t>
      </w:r>
      <w:r w:rsidR="009C1478" w:rsidRPr="00E32D94">
        <w:t>Jordan Stein, Kevin Payne,</w:t>
      </w:r>
      <w:r w:rsidR="00E32D94">
        <w:t xml:space="preserve"> and Tommy deWildt.</w:t>
      </w:r>
    </w:p>
    <w:p w14:paraId="19BCDD49" w14:textId="77777777" w:rsidR="00A41853" w:rsidRDefault="00A41853" w:rsidP="00A41853">
      <w:pPr>
        <w:pStyle w:val="Heading2"/>
      </w:pPr>
      <w:bookmarkStart w:id="16" w:name="_Toc6565712"/>
      <w:r>
        <w:t>Investment Committee</w:t>
      </w:r>
      <w:bookmarkEnd w:id="16"/>
    </w:p>
    <w:p w14:paraId="7D81F5AF" w14:textId="378BCA32" w:rsidR="00A41853" w:rsidRDefault="00AB1AD0" w:rsidP="00A41853">
      <w:r>
        <w:t xml:space="preserve">Ryan </w:t>
      </w:r>
      <w:proofErr w:type="spellStart"/>
      <w:r>
        <w:t>Hochmiller</w:t>
      </w:r>
      <w:proofErr w:type="spellEnd"/>
      <w:r w:rsidR="00A41853">
        <w:t xml:space="preserve"> - Committee Chair, Matt Schmidt, Scott Liber</w:t>
      </w:r>
    </w:p>
    <w:p w14:paraId="7DBB354E" w14:textId="77777777" w:rsidR="00A41853" w:rsidRDefault="00A41853" w:rsidP="00A41853">
      <w:pPr>
        <w:pStyle w:val="Heading2"/>
      </w:pPr>
      <w:bookmarkStart w:id="17" w:name="_Toc6565713"/>
      <w:r>
        <w:t>Membership Committee</w:t>
      </w:r>
      <w:bookmarkEnd w:id="17"/>
    </w:p>
    <w:p w14:paraId="11F8DF8F" w14:textId="7A6ACC4E" w:rsidR="00A41853" w:rsidRDefault="00AB1AD0" w:rsidP="00A41853">
      <w:r>
        <w:t>Ryan Hochmiller</w:t>
      </w:r>
      <w:bookmarkStart w:id="18" w:name="_GoBack"/>
      <w:bookmarkEnd w:id="18"/>
      <w:r w:rsidR="00A41853">
        <w:t xml:space="preserve"> - Committee Chair, Andy Mundy, Martin Mercer-Deadman</w:t>
      </w:r>
    </w:p>
    <w:p w14:paraId="13A52BEC" w14:textId="77777777" w:rsidR="00A41853" w:rsidRDefault="00A41853" w:rsidP="00A41853">
      <w:pPr>
        <w:pStyle w:val="Heading2"/>
      </w:pPr>
      <w:bookmarkStart w:id="19" w:name="_Toc6565714"/>
      <w:r>
        <w:t>Legislative Committee</w:t>
      </w:r>
      <w:bookmarkEnd w:id="19"/>
    </w:p>
    <w:p w14:paraId="01444DFE" w14:textId="2EC30796" w:rsidR="005B07AE" w:rsidRDefault="00A41853" w:rsidP="00047CDB">
      <w:r>
        <w:t xml:space="preserve">Ryan </w:t>
      </w:r>
      <w:proofErr w:type="spellStart"/>
      <w:r>
        <w:t>Hochmiller</w:t>
      </w:r>
      <w:proofErr w:type="spellEnd"/>
      <w:r>
        <w:t xml:space="preserve"> - Committee Chair</w:t>
      </w:r>
    </w:p>
    <w:sectPr w:rsidR="005B07AE">
      <w:footerReference w:type="default" r:id="rId20"/>
      <w:footerReference w:type="first" r:id="rId2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5E34" w14:textId="77777777" w:rsidR="006E6EAF" w:rsidRDefault="006E6EAF">
      <w:pPr>
        <w:spacing w:after="0" w:line="240" w:lineRule="auto"/>
      </w:pPr>
      <w:r>
        <w:separator/>
      </w:r>
    </w:p>
  </w:endnote>
  <w:endnote w:type="continuationSeparator" w:id="0">
    <w:p w14:paraId="50E66D75" w14:textId="77777777" w:rsidR="006E6EAF" w:rsidRDefault="006E6EAF">
      <w:pPr>
        <w:spacing w:after="0" w:line="240" w:lineRule="auto"/>
      </w:pPr>
      <w:r>
        <w:continuationSeparator/>
      </w:r>
    </w:p>
  </w:endnote>
  <w:endnote w:type="continuationNotice" w:id="1">
    <w:p w14:paraId="6D6A9845" w14:textId="77777777" w:rsidR="006E6EAF" w:rsidRDefault="006E6E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970D4" w14:textId="5CB4CE70" w:rsidR="008660D4" w:rsidRDefault="00866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889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FA85C" w14:textId="2BAEC45C" w:rsidR="008660D4" w:rsidRDefault="008660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C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6DDE" w14:textId="77777777" w:rsidR="006E6EAF" w:rsidRDefault="006E6EAF">
      <w:pPr>
        <w:spacing w:after="0" w:line="240" w:lineRule="auto"/>
      </w:pPr>
      <w:r>
        <w:separator/>
      </w:r>
    </w:p>
  </w:footnote>
  <w:footnote w:type="continuationSeparator" w:id="0">
    <w:p w14:paraId="47E8760D" w14:textId="77777777" w:rsidR="006E6EAF" w:rsidRDefault="006E6EAF">
      <w:pPr>
        <w:spacing w:after="0" w:line="240" w:lineRule="auto"/>
      </w:pPr>
      <w:r>
        <w:continuationSeparator/>
      </w:r>
    </w:p>
  </w:footnote>
  <w:footnote w:type="continuationNotice" w:id="1">
    <w:p w14:paraId="41309F31" w14:textId="77777777" w:rsidR="006E6EAF" w:rsidRDefault="006E6E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10D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FA48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4A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BA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96DE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8CC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CC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E5DBD"/>
    <w:multiLevelType w:val="multilevel"/>
    <w:tmpl w:val="FF6A34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135E44"/>
    <w:multiLevelType w:val="hybridMultilevel"/>
    <w:tmpl w:val="2D8810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3806"/>
    <w:multiLevelType w:val="hybridMultilevel"/>
    <w:tmpl w:val="54B077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20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26203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4BF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5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476FB6"/>
    <w:multiLevelType w:val="hybridMultilevel"/>
    <w:tmpl w:val="32600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4"/>
  </w:num>
  <w:num w:numId="22">
    <w:abstractNumId w:val="1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E9"/>
    <w:rsid w:val="00047CDB"/>
    <w:rsid w:val="000746EC"/>
    <w:rsid w:val="00090D11"/>
    <w:rsid w:val="000C4DEE"/>
    <w:rsid w:val="000D33C7"/>
    <w:rsid w:val="000E493E"/>
    <w:rsid w:val="00103B98"/>
    <w:rsid w:val="00132CC2"/>
    <w:rsid w:val="00133DD5"/>
    <w:rsid w:val="00156FCA"/>
    <w:rsid w:val="001613D8"/>
    <w:rsid w:val="0018120C"/>
    <w:rsid w:val="001B3383"/>
    <w:rsid w:val="001B5C4B"/>
    <w:rsid w:val="001B672E"/>
    <w:rsid w:val="001D1F7C"/>
    <w:rsid w:val="001D42D3"/>
    <w:rsid w:val="001D6799"/>
    <w:rsid w:val="001E2E2B"/>
    <w:rsid w:val="001E59FA"/>
    <w:rsid w:val="001F02F7"/>
    <w:rsid w:val="002011EE"/>
    <w:rsid w:val="002019D1"/>
    <w:rsid w:val="002106E9"/>
    <w:rsid w:val="002130E8"/>
    <w:rsid w:val="00213FE9"/>
    <w:rsid w:val="00223C56"/>
    <w:rsid w:val="00232B08"/>
    <w:rsid w:val="00241353"/>
    <w:rsid w:val="00243738"/>
    <w:rsid w:val="00245EB5"/>
    <w:rsid w:val="0024698C"/>
    <w:rsid w:val="00252A79"/>
    <w:rsid w:val="00257C10"/>
    <w:rsid w:val="002629E4"/>
    <w:rsid w:val="002879EE"/>
    <w:rsid w:val="002A3D35"/>
    <w:rsid w:val="002A7132"/>
    <w:rsid w:val="002B1A63"/>
    <w:rsid w:val="002B2685"/>
    <w:rsid w:val="002B3C34"/>
    <w:rsid w:val="002B5B14"/>
    <w:rsid w:val="002D247E"/>
    <w:rsid w:val="002F663D"/>
    <w:rsid w:val="0032638D"/>
    <w:rsid w:val="00350518"/>
    <w:rsid w:val="00374795"/>
    <w:rsid w:val="00395C7D"/>
    <w:rsid w:val="003B1615"/>
    <w:rsid w:val="003E7A07"/>
    <w:rsid w:val="004046CD"/>
    <w:rsid w:val="00414F89"/>
    <w:rsid w:val="00442C24"/>
    <w:rsid w:val="00445107"/>
    <w:rsid w:val="00452CBA"/>
    <w:rsid w:val="004534E8"/>
    <w:rsid w:val="004722B2"/>
    <w:rsid w:val="00481047"/>
    <w:rsid w:val="00484506"/>
    <w:rsid w:val="00490EF5"/>
    <w:rsid w:val="00492350"/>
    <w:rsid w:val="00494352"/>
    <w:rsid w:val="004D338B"/>
    <w:rsid w:val="004E5157"/>
    <w:rsid w:val="004E5A7D"/>
    <w:rsid w:val="004F016F"/>
    <w:rsid w:val="00501911"/>
    <w:rsid w:val="005105A0"/>
    <w:rsid w:val="00511A60"/>
    <w:rsid w:val="0054104F"/>
    <w:rsid w:val="005441A6"/>
    <w:rsid w:val="005477B7"/>
    <w:rsid w:val="00590DEF"/>
    <w:rsid w:val="00593B40"/>
    <w:rsid w:val="00595C1E"/>
    <w:rsid w:val="005A5AD7"/>
    <w:rsid w:val="005B07AE"/>
    <w:rsid w:val="005B63B0"/>
    <w:rsid w:val="005C75FB"/>
    <w:rsid w:val="005E296E"/>
    <w:rsid w:val="00616E4E"/>
    <w:rsid w:val="006368F1"/>
    <w:rsid w:val="0065197B"/>
    <w:rsid w:val="00687519"/>
    <w:rsid w:val="00692E35"/>
    <w:rsid w:val="006A2C55"/>
    <w:rsid w:val="006B7D91"/>
    <w:rsid w:val="006D4225"/>
    <w:rsid w:val="006E5769"/>
    <w:rsid w:val="006E6EAF"/>
    <w:rsid w:val="006F7B48"/>
    <w:rsid w:val="0070615F"/>
    <w:rsid w:val="0071048E"/>
    <w:rsid w:val="007217B7"/>
    <w:rsid w:val="00722B5E"/>
    <w:rsid w:val="00775ADD"/>
    <w:rsid w:val="00783930"/>
    <w:rsid w:val="00794512"/>
    <w:rsid w:val="007A0B13"/>
    <w:rsid w:val="007B039A"/>
    <w:rsid w:val="007B2EE5"/>
    <w:rsid w:val="007B710C"/>
    <w:rsid w:val="007B7ADD"/>
    <w:rsid w:val="007C2BDA"/>
    <w:rsid w:val="007E194A"/>
    <w:rsid w:val="007E2424"/>
    <w:rsid w:val="007E66F3"/>
    <w:rsid w:val="00804CDB"/>
    <w:rsid w:val="00815EDF"/>
    <w:rsid w:val="00830AFA"/>
    <w:rsid w:val="00833F19"/>
    <w:rsid w:val="0084279B"/>
    <w:rsid w:val="008518DF"/>
    <w:rsid w:val="00857602"/>
    <w:rsid w:val="008660D4"/>
    <w:rsid w:val="008B3973"/>
    <w:rsid w:val="008D65F5"/>
    <w:rsid w:val="008E3A2D"/>
    <w:rsid w:val="008F7C45"/>
    <w:rsid w:val="009159B0"/>
    <w:rsid w:val="009243ED"/>
    <w:rsid w:val="00940746"/>
    <w:rsid w:val="009550FD"/>
    <w:rsid w:val="009A5686"/>
    <w:rsid w:val="009B01BA"/>
    <w:rsid w:val="009B51B6"/>
    <w:rsid w:val="009B7813"/>
    <w:rsid w:val="009C1478"/>
    <w:rsid w:val="009E3CB8"/>
    <w:rsid w:val="009F72AF"/>
    <w:rsid w:val="00A00758"/>
    <w:rsid w:val="00A009DA"/>
    <w:rsid w:val="00A12C59"/>
    <w:rsid w:val="00A24363"/>
    <w:rsid w:val="00A26F0F"/>
    <w:rsid w:val="00A3065A"/>
    <w:rsid w:val="00A41853"/>
    <w:rsid w:val="00A60CBF"/>
    <w:rsid w:val="00A77817"/>
    <w:rsid w:val="00A846CE"/>
    <w:rsid w:val="00A905F6"/>
    <w:rsid w:val="00A95A8F"/>
    <w:rsid w:val="00AA21CF"/>
    <w:rsid w:val="00AB1AD0"/>
    <w:rsid w:val="00AC4AA1"/>
    <w:rsid w:val="00AD30D3"/>
    <w:rsid w:val="00B03E5C"/>
    <w:rsid w:val="00B12569"/>
    <w:rsid w:val="00B24A2D"/>
    <w:rsid w:val="00B366A9"/>
    <w:rsid w:val="00B41A53"/>
    <w:rsid w:val="00B52456"/>
    <w:rsid w:val="00B55286"/>
    <w:rsid w:val="00BA4F14"/>
    <w:rsid w:val="00BA5C9D"/>
    <w:rsid w:val="00BF7833"/>
    <w:rsid w:val="00C218A8"/>
    <w:rsid w:val="00C22F04"/>
    <w:rsid w:val="00C36963"/>
    <w:rsid w:val="00C500BD"/>
    <w:rsid w:val="00C506D1"/>
    <w:rsid w:val="00C5530D"/>
    <w:rsid w:val="00C64930"/>
    <w:rsid w:val="00C753FD"/>
    <w:rsid w:val="00CA1E95"/>
    <w:rsid w:val="00CB7A3F"/>
    <w:rsid w:val="00CF10BF"/>
    <w:rsid w:val="00CF24A9"/>
    <w:rsid w:val="00D020A9"/>
    <w:rsid w:val="00D13AE6"/>
    <w:rsid w:val="00D16FE6"/>
    <w:rsid w:val="00D266CF"/>
    <w:rsid w:val="00D566C7"/>
    <w:rsid w:val="00DA7E87"/>
    <w:rsid w:val="00DB3E96"/>
    <w:rsid w:val="00DC4B8D"/>
    <w:rsid w:val="00DD0994"/>
    <w:rsid w:val="00E101C8"/>
    <w:rsid w:val="00E310CF"/>
    <w:rsid w:val="00E32D94"/>
    <w:rsid w:val="00E63FC7"/>
    <w:rsid w:val="00E763A4"/>
    <w:rsid w:val="00E7670A"/>
    <w:rsid w:val="00EB2D22"/>
    <w:rsid w:val="00EC4EA4"/>
    <w:rsid w:val="00EC5281"/>
    <w:rsid w:val="00EC52A9"/>
    <w:rsid w:val="00F00960"/>
    <w:rsid w:val="00F010F8"/>
    <w:rsid w:val="00F20504"/>
    <w:rsid w:val="00F242C8"/>
    <w:rsid w:val="00F44DA2"/>
    <w:rsid w:val="00F66DB4"/>
    <w:rsid w:val="00F66FAF"/>
    <w:rsid w:val="00F73A58"/>
    <w:rsid w:val="00F828EA"/>
    <w:rsid w:val="00F84A13"/>
    <w:rsid w:val="00F8672B"/>
    <w:rsid w:val="00F95F1C"/>
    <w:rsid w:val="00FB59A3"/>
    <w:rsid w:val="00FB6673"/>
    <w:rsid w:val="00FC6973"/>
    <w:rsid w:val="00FD0755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1D98F"/>
  <w15:chartTrackingRefBased/>
  <w15:docId w15:val="{29BCF6A0-8848-40A5-9747-649A96F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6E9"/>
  </w:style>
  <w:style w:type="paragraph" w:styleId="Heading1">
    <w:name w:val="heading 1"/>
    <w:basedOn w:val="Normal"/>
    <w:next w:val="Normal"/>
    <w:link w:val="Heading1Char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sid w:val="00414F89"/>
    <w:rPr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QuoteChar">
    <w:name w:val="Quote Char"/>
    <w:basedOn w:val="DefaultParagraphFont"/>
    <w:link w:val="Quote"/>
    <w:uiPriority w:val="10"/>
    <w:rsid w:val="00414F89"/>
    <w:rPr>
      <w:b/>
      <w:iCs/>
      <w:color w:val="EB130B" w:themeColor="accent1" w:themeShade="BF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mphasis">
    <w:name w:val="Emphasis"/>
    <w:basedOn w:val="DefaultParagraphFont"/>
    <w:uiPriority w:val="8"/>
    <w:qFormat/>
    <w:rsid w:val="00414F89"/>
    <w:rPr>
      <w:b w:val="0"/>
      <w:i w:val="0"/>
      <w:iCs/>
      <w:color w:val="EB130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13"/>
    <w:rPr>
      <w:rFonts w:ascii="Segoe UI" w:hAnsi="Segoe UI" w:cs="Segoe UI"/>
      <w:sz w:val="22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BlockText">
    <w:name w:val="Block Text"/>
    <w:basedOn w:val="Normal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14F89"/>
    <w:rPr>
      <w:color w:val="934AA3" w:themeColor="accent5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4A13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4A13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3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A13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4A1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4A1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4A13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4A13"/>
    <w:rPr>
      <w:rFonts w:ascii="Consolas" w:hAnsi="Consolas"/>
      <w:sz w:val="22"/>
      <w:szCs w:val="21"/>
    </w:rPr>
  </w:style>
  <w:style w:type="table" w:customStyle="1" w:styleId="TableGrid0">
    <w:name w:val="TableGrid"/>
    <w:rsid w:val="002B5B14"/>
    <w:pPr>
      <w:spacing w:after="0" w:line="240" w:lineRule="auto"/>
    </w:pPr>
    <w:rPr>
      <w:rFonts w:eastAsiaTheme="minorEastAsia"/>
      <w:color w:val="auto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64930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Paper%20with%20cover%20and%20TOC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truckpartsolutions.sharepoint.com/teams/ITPA/Shared%20Documents/Policy/ITPA%20Performance%20Measurem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numRef>
              <c:f>Sheet1!$K$4:$K$13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Sheet1!$M$4:$M$13</c:f>
              <c:numCache>
                <c:formatCode>General</c:formatCode>
                <c:ptCount val="10"/>
                <c:pt idx="0">
                  <c:v>112</c:v>
                </c:pt>
                <c:pt idx="1">
                  <c:v>111</c:v>
                </c:pt>
                <c:pt idx="2">
                  <c:v>107</c:v>
                </c:pt>
                <c:pt idx="3">
                  <c:v>109</c:v>
                </c:pt>
                <c:pt idx="4">
                  <c:v>119</c:v>
                </c:pt>
                <c:pt idx="5">
                  <c:v>117</c:v>
                </c:pt>
                <c:pt idx="6">
                  <c:v>115</c:v>
                </c:pt>
                <c:pt idx="7">
                  <c:v>115</c:v>
                </c:pt>
                <c:pt idx="8">
                  <c:v>114</c:v>
                </c:pt>
                <c:pt idx="9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A-4DB9-B321-1D8D48CCD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9916032"/>
        <c:axId val="749916360"/>
        <c:axId val="0"/>
      </c:bar3DChart>
      <c:catAx>
        <c:axId val="74991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916360"/>
        <c:crosses val="autoZero"/>
        <c:auto val="1"/>
        <c:lblAlgn val="ctr"/>
        <c:lblOffset val="100"/>
        <c:noMultiLvlLbl val="0"/>
      </c:catAx>
      <c:valAx>
        <c:axId val="749916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91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6C0E1B069E64FA0038A421A589ABB" ma:contentTypeVersion="8" ma:contentTypeDescription="Create a new document." ma:contentTypeScope="" ma:versionID="b7fdec86a2e9e99eeb7515cc574db6a5">
  <xsd:schema xmlns:xsd="http://www.w3.org/2001/XMLSchema" xmlns:xs="http://www.w3.org/2001/XMLSchema" xmlns:p="http://schemas.microsoft.com/office/2006/metadata/properties" xmlns:ns2="09cf83e6-0774-461c-8f9e-65cbcac23bbf" targetNamespace="http://schemas.microsoft.com/office/2006/metadata/properties" ma:root="true" ma:fieldsID="554ed404b83df40c8dd411b7a1fafbef" ns2:_="">
    <xsd:import namespace="09cf83e6-0774-461c-8f9e-65cbcac23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f83e6-0774-461c-8f9e-65cbcac23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951A-C84D-4D5F-9870-5723E0E21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59AFD-2904-4998-806C-D71613037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2485F-CCD4-453B-B818-349B74F9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f83e6-0774-461c-8f9e-65cbcac2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33CB0-B5DD-4853-AD7A-AED144A0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</Template>
  <TotalTime>25</TotalTime>
  <Pages>17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Tetz</dc:creator>
  <cp:keywords/>
  <dc:description/>
  <cp:lastModifiedBy>Scott Tetz</cp:lastModifiedBy>
  <cp:revision>3</cp:revision>
  <cp:lastPrinted>2018-05-03T19:42:00Z</cp:lastPrinted>
  <dcterms:created xsi:type="dcterms:W3CDTF">2019-11-04T16:36:00Z</dcterms:created>
  <dcterms:modified xsi:type="dcterms:W3CDTF">2019-11-05T15:01:00Z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0x010100DDE6C0E1B069E64FA0038A421A589ABB</vt:lpwstr>
  </property>
</Properties>
</file>