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8FB72" w14:textId="77777777" w:rsidR="00FD1C83" w:rsidRDefault="00FD1C83" w:rsidP="00FD1C83">
      <w:pPr>
        <w:pStyle w:val="ListParagraph"/>
        <w:spacing w:after="0"/>
        <w:rPr>
          <w:rFonts w:ascii="Bookman Old Style" w:hAnsi="Bookman Old Style"/>
        </w:rPr>
      </w:pPr>
      <w:bookmarkStart w:id="0" w:name="_GoBack"/>
      <w:bookmarkEnd w:id="0"/>
      <w:r>
        <w:rPr>
          <w:rFonts w:ascii="Bookman Old Style" w:hAnsi="Bookman Old Style"/>
        </w:rPr>
        <w:t>CALPASC members are advised to have clear procedures for responding to whistleblower claims. This appellate ruling gave PAGA penalties and attorney fee awards to the whistleblowers. In Hawkins, et al., v. City of L.A., the 2</w:t>
      </w:r>
      <w:r w:rsidRPr="00B60981">
        <w:rPr>
          <w:rFonts w:ascii="Bookman Old Style" w:hAnsi="Bookman Old Style"/>
          <w:vertAlign w:val="superscript"/>
        </w:rPr>
        <w:t>nd</w:t>
      </w:r>
      <w:r>
        <w:rPr>
          <w:rFonts w:ascii="Bookman Old Style" w:hAnsi="Bookman Old Style"/>
        </w:rPr>
        <w:t xml:space="preserve"> appellate district affirms a trial court judgment. Hawkins and Kim worked in the City Dept. of Transportation as part time hearing officers. They complained they were being pressured by supervisors to change their rulings in parking ticket violations from not guilty to guilty. The plaintiffs proved the 3 elements of an employer retaliation case. 1</w:t>
      </w:r>
      <w:r w:rsidRPr="00B60981">
        <w:rPr>
          <w:rFonts w:ascii="Bookman Old Style" w:hAnsi="Bookman Old Style"/>
          <w:vertAlign w:val="superscript"/>
        </w:rPr>
        <w:t>st</w:t>
      </w:r>
      <w:r>
        <w:rPr>
          <w:rFonts w:ascii="Bookman Old Style" w:hAnsi="Bookman Old Style"/>
        </w:rPr>
        <w:t>, the whistleblowers disclosed an illegal activity, which is a protected activity under CA law. 2</w:t>
      </w:r>
      <w:r w:rsidRPr="00B60981">
        <w:rPr>
          <w:rFonts w:ascii="Bookman Old Style" w:hAnsi="Bookman Old Style"/>
          <w:vertAlign w:val="superscript"/>
        </w:rPr>
        <w:t>nd</w:t>
      </w:r>
      <w:r>
        <w:rPr>
          <w:rFonts w:ascii="Bookman Old Style" w:hAnsi="Bookman Old Style"/>
        </w:rPr>
        <w:t>, the City took an adverse employment action by firing the whistleblowers. 3</w:t>
      </w:r>
      <w:r w:rsidRPr="00B60981">
        <w:rPr>
          <w:rFonts w:ascii="Bookman Old Style" w:hAnsi="Bookman Old Style"/>
          <w:vertAlign w:val="superscript"/>
        </w:rPr>
        <w:t>rd</w:t>
      </w:r>
      <w:r>
        <w:rPr>
          <w:rFonts w:ascii="Bookman Old Style" w:hAnsi="Bookman Old Style"/>
        </w:rPr>
        <w:t xml:space="preserve">, the whistleblowers established a clear connection in time and conduct that the firing was due to the whistleblowers’ complaints. You can click here to read a copy of the ruling:  </w:t>
      </w:r>
      <w:hyperlink r:id="rId5" w:history="1">
        <w:r w:rsidRPr="00A25E79">
          <w:rPr>
            <w:rStyle w:val="Hyperlink"/>
            <w:rFonts w:ascii="Bookman Old Style" w:hAnsi="Bookman Old Style"/>
          </w:rPr>
          <w:t>https://www.courts.ca.gov/opinions/documents/B279719.PDF</w:t>
        </w:r>
      </w:hyperlink>
    </w:p>
    <w:p w14:paraId="7D57B475" w14:textId="77777777" w:rsidR="00D00330" w:rsidRDefault="00D00330"/>
    <w:sectPr w:rsidR="00D0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4D4C"/>
    <w:multiLevelType w:val="hybridMultilevel"/>
    <w:tmpl w:val="34F8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83"/>
    <w:rsid w:val="00D00330"/>
    <w:rsid w:val="00FD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588C"/>
  <w15:chartTrackingRefBased/>
  <w15:docId w15:val="{1E1132F7-610B-4737-A4AC-E335DA51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C83"/>
    <w:rPr>
      <w:color w:val="0563C1" w:themeColor="hyperlink"/>
      <w:u w:val="single"/>
    </w:rPr>
  </w:style>
  <w:style w:type="paragraph" w:styleId="ListParagraph">
    <w:name w:val="List Paragraph"/>
    <w:basedOn w:val="Normal"/>
    <w:uiPriority w:val="34"/>
    <w:qFormat/>
    <w:rsid w:val="00FD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rts.ca.gov/opinions/documents/B2797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FSB Admin</dc:creator>
  <cp:keywords/>
  <dc:description/>
  <cp:lastModifiedBy>FSB Admin</cp:lastModifiedBy>
  <cp:revision>1</cp:revision>
  <dcterms:created xsi:type="dcterms:W3CDTF">2019-11-04T17:25:00Z</dcterms:created>
  <dcterms:modified xsi:type="dcterms:W3CDTF">2019-11-04T17:25:00Z</dcterms:modified>
</cp:coreProperties>
</file>