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5301B5" w14:textId="77777777" w:rsidR="00E82C54" w:rsidRPr="00E82C54" w:rsidRDefault="00E82C54" w:rsidP="00E82C54">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E82C54">
        <w:rPr>
          <w:rFonts w:ascii="Verdana" w:eastAsia="Times New Roman" w:hAnsi="Verdana" w:cs="Times New Roman"/>
          <w:color w:val="000000"/>
          <w:sz w:val="20"/>
          <w:szCs w:val="20"/>
        </w:rPr>
        <w:t>Apart from COVID-19, the average workers' compensation advisory rate would be lowered by approximately 1.3% for 2021.</w:t>
      </w:r>
    </w:p>
    <w:p w14:paraId="18755FBD" w14:textId="77777777" w:rsidR="00E82C54" w:rsidRPr="00E82C54" w:rsidRDefault="00E82C54" w:rsidP="00E82C54">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E82C54">
        <w:rPr>
          <w:rFonts w:ascii="Verdana" w:eastAsia="Times New Roman" w:hAnsi="Verdana" w:cs="Times New Roman"/>
          <w:color w:val="000000"/>
          <w:sz w:val="20"/>
          <w:szCs w:val="20"/>
        </w:rPr>
        <w:t xml:space="preserve">With COVID-19, the average advisory rates will go up 2.6%. This is the average for all industries. Construction has </w:t>
      </w:r>
      <w:proofErr w:type="gramStart"/>
      <w:r w:rsidRPr="00E82C54">
        <w:rPr>
          <w:rFonts w:ascii="Verdana" w:eastAsia="Times New Roman" w:hAnsi="Verdana" w:cs="Times New Roman"/>
          <w:color w:val="000000"/>
          <w:sz w:val="20"/>
          <w:szCs w:val="20"/>
        </w:rPr>
        <w:t>a very low</w:t>
      </w:r>
      <w:proofErr w:type="gramEnd"/>
      <w:r w:rsidRPr="00E82C54">
        <w:rPr>
          <w:rFonts w:ascii="Verdana" w:eastAsia="Times New Roman" w:hAnsi="Verdana" w:cs="Times New Roman"/>
          <w:color w:val="000000"/>
          <w:sz w:val="20"/>
          <w:szCs w:val="20"/>
        </w:rPr>
        <w:t xml:space="preserve"> claim rate.</w:t>
      </w:r>
    </w:p>
    <w:p w14:paraId="69E6872F" w14:textId="77777777" w:rsidR="00E82C54" w:rsidRPr="00E82C54" w:rsidRDefault="00E82C54" w:rsidP="00E82C54">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E82C54">
        <w:rPr>
          <w:rFonts w:ascii="Verdana" w:eastAsia="Times New Roman" w:hAnsi="Verdana" w:cs="Times New Roman"/>
          <w:color w:val="000000"/>
          <w:sz w:val="20"/>
          <w:szCs w:val="20"/>
        </w:rPr>
        <w:t>The WCIRB has had to take an innovative step to try to charge employers fairly for the COVID-19 exposure, as some employees have much more exposure to COVID-19 than employees working other jobs. Because there is no historic loss information by class code to utilize for the rate calculations, the estimated costs are based on analysis of overall COVID-19 infections, and how that compares to the first 36,000 COVID-19 claims filed under workers' compensation.</w:t>
      </w:r>
    </w:p>
    <w:p w14:paraId="4BDD18C0" w14:textId="77777777" w:rsidR="00E82C54" w:rsidRPr="00E82C54" w:rsidRDefault="00E82C54" w:rsidP="00E82C54">
      <w:pPr>
        <w:numPr>
          <w:ilvl w:val="1"/>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E82C54">
        <w:rPr>
          <w:rFonts w:ascii="Verdana" w:eastAsia="Times New Roman" w:hAnsi="Verdana" w:cs="Times New Roman"/>
          <w:color w:val="000000"/>
          <w:sz w:val="20"/>
          <w:szCs w:val="20"/>
        </w:rPr>
        <w:t xml:space="preserve">The plan is for each class code to have its annual calculation of loss </w:t>
      </w:r>
      <w:proofErr w:type="gramStart"/>
      <w:r w:rsidRPr="00E82C54">
        <w:rPr>
          <w:rFonts w:ascii="Verdana" w:eastAsia="Times New Roman" w:hAnsi="Verdana" w:cs="Times New Roman"/>
          <w:color w:val="000000"/>
          <w:sz w:val="20"/>
          <w:szCs w:val="20"/>
        </w:rPr>
        <w:t>costs, and</w:t>
      </w:r>
      <w:proofErr w:type="gramEnd"/>
      <w:r w:rsidRPr="00E82C54">
        <w:rPr>
          <w:rFonts w:ascii="Verdana" w:eastAsia="Times New Roman" w:hAnsi="Verdana" w:cs="Times New Roman"/>
          <w:color w:val="000000"/>
          <w:sz w:val="20"/>
          <w:szCs w:val="20"/>
        </w:rPr>
        <w:t xml:space="preserve"> be adjusted up or down. The minus 1.3% without COVID-19 is the average. As you know, each class code has its own historic losses to payroll reviewed. While minus 1.3% is the average, your individual class codes could go higher, lower, or be the average.</w:t>
      </w:r>
    </w:p>
    <w:p w14:paraId="7C0B4F32" w14:textId="77777777" w:rsidR="00E82C54" w:rsidRPr="00E82C54" w:rsidRDefault="00E82C54" w:rsidP="00E82C54">
      <w:pPr>
        <w:numPr>
          <w:ilvl w:val="1"/>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E82C54">
        <w:rPr>
          <w:rFonts w:ascii="Verdana" w:eastAsia="Times New Roman" w:hAnsi="Verdana" w:cs="Times New Roman"/>
          <w:color w:val="000000"/>
          <w:sz w:val="20"/>
          <w:szCs w:val="20"/>
        </w:rPr>
        <w:t>Then, based on each industry, a surcharge will be added to the proposed advisory rate. For construction, this will be a loss cost rate of 6 cents per hundred of payroll, which will probably equate to a full rate of 10 cents per hundred of payroll. This is not 10%, it is 10 cents per hundred. If your class code rate is $8.00 per hundred, it would increase to approximately $8.10 per hundred.</w:t>
      </w:r>
    </w:p>
    <w:p w14:paraId="58EA1C03" w14:textId="77777777" w:rsidR="00E82C54" w:rsidRPr="00E82C54" w:rsidRDefault="00E82C54" w:rsidP="00E82C54">
      <w:pPr>
        <w:numPr>
          <w:ilvl w:val="1"/>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E82C54">
        <w:rPr>
          <w:rFonts w:ascii="Verdana" w:eastAsia="Times New Roman" w:hAnsi="Verdana" w:cs="Times New Roman"/>
          <w:color w:val="000000"/>
          <w:sz w:val="20"/>
          <w:szCs w:val="20"/>
        </w:rPr>
        <w:t>This is not a significant increase, because construction has had a relatively small number of COVID-19 workers' compensation claims filed, compared to other industries.</w:t>
      </w:r>
    </w:p>
    <w:p w14:paraId="284179D4" w14:textId="77777777" w:rsidR="00E82C54" w:rsidRPr="00E82C54" w:rsidRDefault="00E82C54" w:rsidP="00E82C54">
      <w:pPr>
        <w:numPr>
          <w:ilvl w:val="1"/>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E82C54">
        <w:rPr>
          <w:rFonts w:ascii="Verdana" w:eastAsia="Times New Roman" w:hAnsi="Verdana" w:cs="Times New Roman"/>
          <w:color w:val="000000"/>
          <w:sz w:val="20"/>
          <w:szCs w:val="20"/>
        </w:rPr>
        <w:t>This is good news for CALPASC members, in that the workers' compensation industry is still stable in California.</w:t>
      </w:r>
    </w:p>
    <w:p w14:paraId="72EB9294" w14:textId="77777777" w:rsidR="00E82C54" w:rsidRPr="00E82C54" w:rsidRDefault="00E82C54" w:rsidP="00E82C54">
      <w:pPr>
        <w:numPr>
          <w:ilvl w:val="1"/>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E82C54">
        <w:rPr>
          <w:rFonts w:ascii="Verdana" w:eastAsia="Times New Roman" w:hAnsi="Verdana" w:cs="Times New Roman"/>
          <w:color w:val="000000"/>
          <w:sz w:val="20"/>
          <w:szCs w:val="20"/>
        </w:rPr>
        <w:t>We always recommend CALPASC members have early discussions before renewal with their workers' compensation brokers or advisors, so they know how to bid their projects contemplating future costs.</w:t>
      </w:r>
    </w:p>
    <w:p w14:paraId="52632C6E" w14:textId="77777777" w:rsidR="00E82C54" w:rsidRPr="00E82C54" w:rsidRDefault="00E82C54" w:rsidP="00E82C54">
      <w:pPr>
        <w:numPr>
          <w:ilvl w:val="1"/>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E82C54">
        <w:rPr>
          <w:rFonts w:ascii="Verdana" w:eastAsia="Times New Roman" w:hAnsi="Verdana" w:cs="Times New Roman"/>
          <w:color w:val="000000"/>
          <w:sz w:val="20"/>
          <w:szCs w:val="20"/>
        </w:rPr>
        <w:t>It looks like 2021 workers' compensation rates will not fluctuate much, unless of course, your company has adverse losses or experience modification issues.</w:t>
      </w:r>
    </w:p>
    <w:p w14:paraId="41AC4AC2" w14:textId="77777777" w:rsidR="00E82C54" w:rsidRPr="00E82C54" w:rsidRDefault="00E82C54" w:rsidP="00E82C54">
      <w:pPr>
        <w:numPr>
          <w:ilvl w:val="1"/>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E82C54">
        <w:rPr>
          <w:rFonts w:ascii="Verdana" w:eastAsia="Times New Roman" w:hAnsi="Verdana" w:cs="Times New Roman"/>
          <w:color w:val="000000"/>
          <w:sz w:val="20"/>
          <w:szCs w:val="20"/>
        </w:rPr>
        <w:t>Based on this analysis for 2021, it also looks like any CALPASC member renewing in 2020, should have a similar outlook for their renewal.</w:t>
      </w:r>
    </w:p>
    <w:p w14:paraId="09BCC34E" w14:textId="77777777" w:rsidR="00E82C54" w:rsidRPr="00E82C54" w:rsidRDefault="00E82C54" w:rsidP="00E82C54">
      <w:pPr>
        <w:numPr>
          <w:ilvl w:val="1"/>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E82C54">
        <w:rPr>
          <w:rFonts w:ascii="Verdana" w:eastAsia="Times New Roman" w:hAnsi="Verdana" w:cs="Times New Roman"/>
          <w:color w:val="000000"/>
          <w:sz w:val="20"/>
          <w:szCs w:val="20"/>
        </w:rPr>
        <w:t>As a reminder, the advisory rates are only advisory, insurers are free to file their own adjustments to any changes in the statewide rates.</w:t>
      </w:r>
    </w:p>
    <w:p w14:paraId="4743EBB2" w14:textId="77777777" w:rsidR="00105D26" w:rsidRDefault="00105D26"/>
    <w:sectPr w:rsidR="00105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727B91"/>
    <w:multiLevelType w:val="multilevel"/>
    <w:tmpl w:val="7D9C4D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C54"/>
    <w:rsid w:val="00105D26"/>
    <w:rsid w:val="00E82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C365F"/>
  <w15:chartTrackingRefBased/>
  <w15:docId w15:val="{16C9B8CF-25EC-4D59-9B18-49D8C2F62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82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2007</Characters>
  <Application>Microsoft Office Word</Application>
  <DocSecurity>0</DocSecurity>
  <Lines>16</Lines>
  <Paragraphs>4</Paragraphs>
  <ScaleCrop>false</ScaleCrop>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Tamra Smalewitz</dc:creator>
  <cp:keywords/>
  <dc:description/>
  <cp:lastModifiedBy>Tamra Smalewitz</cp:lastModifiedBy>
  <cp:revision>1</cp:revision>
  <dcterms:created xsi:type="dcterms:W3CDTF">2020-09-09T17:41:00Z</dcterms:created>
  <dcterms:modified xsi:type="dcterms:W3CDTF">2020-09-09T17:41:00Z</dcterms:modified>
</cp:coreProperties>
</file>