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A91BB6" w14:textId="77777777" w:rsidR="00D563A7" w:rsidRDefault="00D563A7" w:rsidP="00D563A7">
      <w:pPr>
        <w:spacing w:after="0"/>
        <w:rPr>
          <w:rFonts w:ascii="Bookman Old Style" w:hAnsi="Bookman Old Style"/>
        </w:rPr>
      </w:pPr>
      <w:r>
        <w:rPr>
          <w:rFonts w:ascii="Bookman Old Style" w:hAnsi="Bookman Old Style"/>
        </w:rPr>
        <w:t>CALPASC Director of Risk Management Bruce Wick, recently attended the International Risk Management Institute Construction Risk Conference in Seattle, and the Association of Southern California Defense Council’s annual construction defect conference in Costa Mesa. Several themes continue from these conferences.</w:t>
      </w:r>
    </w:p>
    <w:p w14:paraId="6B98F9D2" w14:textId="77777777" w:rsidR="00D563A7" w:rsidRDefault="00D563A7" w:rsidP="00D563A7">
      <w:pPr>
        <w:pStyle w:val="ListParagraph"/>
        <w:numPr>
          <w:ilvl w:val="0"/>
          <w:numId w:val="1"/>
        </w:numPr>
        <w:spacing w:after="0"/>
        <w:rPr>
          <w:rFonts w:ascii="Bookman Old Style" w:hAnsi="Bookman Old Style"/>
        </w:rPr>
      </w:pPr>
      <w:r>
        <w:rPr>
          <w:rFonts w:ascii="Bookman Old Style" w:hAnsi="Bookman Old Style"/>
        </w:rPr>
        <w:t xml:space="preserve">There are significant problems with some Wrap/OCIP programs having insufficient limits. Participating subcontractors may have exposure in these cases. </w:t>
      </w:r>
    </w:p>
    <w:p w14:paraId="66B4CBEC" w14:textId="77777777" w:rsidR="00D563A7" w:rsidRDefault="00D563A7" w:rsidP="00D563A7">
      <w:pPr>
        <w:pStyle w:val="ListParagraph"/>
        <w:numPr>
          <w:ilvl w:val="1"/>
          <w:numId w:val="1"/>
        </w:numPr>
        <w:spacing w:after="0"/>
        <w:rPr>
          <w:rFonts w:ascii="Bookman Old Style" w:hAnsi="Bookman Old Style"/>
        </w:rPr>
      </w:pPr>
      <w:r>
        <w:rPr>
          <w:rFonts w:ascii="Bookman Old Style" w:hAnsi="Bookman Old Style"/>
        </w:rPr>
        <w:t xml:space="preserve">The sponsors are typically going after the unenrolled subcontractors or suppliers first. In one Northern California case, three </w:t>
      </w:r>
      <w:proofErr w:type="gramStart"/>
      <w:r>
        <w:rPr>
          <w:rFonts w:ascii="Bookman Old Style" w:hAnsi="Bookman Old Style"/>
        </w:rPr>
        <w:t>subcontractors</w:t>
      </w:r>
      <w:proofErr w:type="gramEnd"/>
      <w:r>
        <w:rPr>
          <w:rFonts w:ascii="Bookman Old Style" w:hAnsi="Bookman Old Style"/>
        </w:rPr>
        <w:t xml:space="preserve"> insurers are having to fund the entire defense for a wrap project. This will obviously take away those </w:t>
      </w:r>
      <w:proofErr w:type="gramStart"/>
      <w:r>
        <w:rPr>
          <w:rFonts w:ascii="Bookman Old Style" w:hAnsi="Bookman Old Style"/>
        </w:rPr>
        <w:t>subcontractors</w:t>
      </w:r>
      <w:proofErr w:type="gramEnd"/>
      <w:r>
        <w:rPr>
          <w:rFonts w:ascii="Bookman Old Style" w:hAnsi="Bookman Old Style"/>
        </w:rPr>
        <w:t xml:space="preserve"> insurance coverage for all their other work, when their own limits are exhausted. </w:t>
      </w:r>
    </w:p>
    <w:p w14:paraId="41000675" w14:textId="77777777" w:rsidR="00D563A7" w:rsidRDefault="00D563A7" w:rsidP="00D563A7">
      <w:pPr>
        <w:pStyle w:val="ListParagraph"/>
        <w:numPr>
          <w:ilvl w:val="1"/>
          <w:numId w:val="1"/>
        </w:numPr>
        <w:spacing w:after="0"/>
        <w:rPr>
          <w:rFonts w:ascii="Bookman Old Style" w:hAnsi="Bookman Old Style"/>
        </w:rPr>
      </w:pPr>
      <w:r>
        <w:rPr>
          <w:rFonts w:ascii="Bookman Old Style" w:hAnsi="Bookman Old Style"/>
        </w:rPr>
        <w:t xml:space="preserve">The sponsors will also, however, </w:t>
      </w:r>
      <w:proofErr w:type="gramStart"/>
      <w:r>
        <w:rPr>
          <w:rFonts w:ascii="Bookman Old Style" w:hAnsi="Bookman Old Style"/>
        </w:rPr>
        <w:t>take a look</w:t>
      </w:r>
      <w:proofErr w:type="gramEnd"/>
      <w:r>
        <w:rPr>
          <w:rFonts w:ascii="Bookman Old Style" w:hAnsi="Bookman Old Style"/>
        </w:rPr>
        <w:t xml:space="preserve"> at any enrolled subcontractors as back up. They will look at the wrap up exclusion, since they are all different. </w:t>
      </w:r>
    </w:p>
    <w:p w14:paraId="39049BA8" w14:textId="77777777" w:rsidR="00D563A7" w:rsidRDefault="00D563A7" w:rsidP="00D563A7">
      <w:pPr>
        <w:pStyle w:val="ListParagraph"/>
        <w:numPr>
          <w:ilvl w:val="1"/>
          <w:numId w:val="1"/>
        </w:numPr>
        <w:spacing w:after="0"/>
        <w:rPr>
          <w:rFonts w:ascii="Bookman Old Style" w:hAnsi="Bookman Old Style"/>
        </w:rPr>
      </w:pPr>
      <w:r>
        <w:rPr>
          <w:rFonts w:ascii="Bookman Old Style" w:hAnsi="Bookman Old Style"/>
        </w:rPr>
        <w:t>Best practices for CALPASC members are to:</w:t>
      </w:r>
    </w:p>
    <w:p w14:paraId="00D45E1E" w14:textId="77777777" w:rsidR="00D563A7" w:rsidRDefault="00D563A7" w:rsidP="00D563A7">
      <w:pPr>
        <w:pStyle w:val="ListParagraph"/>
        <w:numPr>
          <w:ilvl w:val="2"/>
          <w:numId w:val="1"/>
        </w:numPr>
        <w:spacing w:after="0"/>
        <w:rPr>
          <w:rFonts w:ascii="Bookman Old Style" w:hAnsi="Bookman Old Style"/>
        </w:rPr>
      </w:pPr>
      <w:proofErr w:type="gramStart"/>
      <w:r>
        <w:rPr>
          <w:rFonts w:ascii="Bookman Old Style" w:hAnsi="Bookman Old Style"/>
        </w:rPr>
        <w:t>Scrutinize carefully</w:t>
      </w:r>
      <w:proofErr w:type="gramEnd"/>
      <w:r>
        <w:rPr>
          <w:rFonts w:ascii="Bookman Old Style" w:hAnsi="Bookman Old Style"/>
        </w:rPr>
        <w:t xml:space="preserve"> the wrap coverage and limits prior to finalizing a bid or contract. </w:t>
      </w:r>
    </w:p>
    <w:p w14:paraId="6E2B4F75" w14:textId="77777777" w:rsidR="00D563A7" w:rsidRDefault="00D563A7" w:rsidP="00D563A7">
      <w:pPr>
        <w:pStyle w:val="ListParagraph"/>
        <w:numPr>
          <w:ilvl w:val="2"/>
          <w:numId w:val="1"/>
        </w:numPr>
        <w:spacing w:after="0"/>
        <w:rPr>
          <w:rFonts w:ascii="Bookman Old Style" w:hAnsi="Bookman Old Style"/>
        </w:rPr>
      </w:pPr>
      <w:r>
        <w:rPr>
          <w:rFonts w:ascii="Bookman Old Style" w:hAnsi="Bookman Old Style"/>
        </w:rPr>
        <w:t xml:space="preserve">Take extra care if you are not enrolling in the wrap, as your primary insurance will be a big target if the wrap has coverage problems. </w:t>
      </w:r>
    </w:p>
    <w:p w14:paraId="0E941BF1" w14:textId="77777777" w:rsidR="00D563A7" w:rsidRDefault="00D563A7" w:rsidP="00D563A7">
      <w:pPr>
        <w:pStyle w:val="ListParagraph"/>
        <w:numPr>
          <w:ilvl w:val="2"/>
          <w:numId w:val="1"/>
        </w:numPr>
        <w:spacing w:after="0"/>
        <w:rPr>
          <w:rFonts w:ascii="Bookman Old Style" w:hAnsi="Bookman Old Style"/>
        </w:rPr>
      </w:pPr>
      <w:r>
        <w:rPr>
          <w:rFonts w:ascii="Bookman Old Style" w:hAnsi="Bookman Old Style"/>
        </w:rPr>
        <w:t xml:space="preserve">Meet specifically with your insurance broker to discuss the wrap exposures, and how to minimize them. </w:t>
      </w:r>
    </w:p>
    <w:p w14:paraId="6300A2DF" w14:textId="77777777" w:rsidR="00D563A7" w:rsidRDefault="00D563A7" w:rsidP="00D563A7">
      <w:pPr>
        <w:pStyle w:val="ListParagraph"/>
        <w:numPr>
          <w:ilvl w:val="0"/>
          <w:numId w:val="1"/>
        </w:numPr>
        <w:spacing w:after="0"/>
        <w:rPr>
          <w:rFonts w:ascii="Bookman Old Style" w:hAnsi="Bookman Old Style"/>
        </w:rPr>
      </w:pPr>
      <w:r>
        <w:rPr>
          <w:rFonts w:ascii="Bookman Old Style" w:hAnsi="Bookman Old Style"/>
        </w:rPr>
        <w:t xml:space="preserve">There are often discrepancies between the effective dates of the Builder’s Risk coverage, covering the property being constructed, and the dates when the Liability insurance of the wrap converts to Products/Completed Operations. </w:t>
      </w:r>
    </w:p>
    <w:p w14:paraId="2A75394D" w14:textId="77777777" w:rsidR="00D563A7" w:rsidRDefault="00D563A7" w:rsidP="00D563A7">
      <w:pPr>
        <w:pStyle w:val="ListParagraph"/>
        <w:numPr>
          <w:ilvl w:val="1"/>
          <w:numId w:val="1"/>
        </w:numPr>
        <w:spacing w:after="0"/>
        <w:rPr>
          <w:rFonts w:ascii="Bookman Old Style" w:hAnsi="Bookman Old Style"/>
        </w:rPr>
      </w:pPr>
      <w:r>
        <w:rPr>
          <w:rFonts w:ascii="Bookman Old Style" w:hAnsi="Bookman Old Style"/>
        </w:rPr>
        <w:t xml:space="preserve">There may be instances where participants in a wrap have no coverage, if there are gaps between the finishing of your work and the transition of the coverage from the Builders’ Risk Property Coverage and the Wrap Completed Operations Liability coverage. </w:t>
      </w:r>
    </w:p>
    <w:p w14:paraId="6E241536" w14:textId="77777777" w:rsidR="00D563A7" w:rsidRPr="000C7EC3" w:rsidRDefault="00D563A7" w:rsidP="00D563A7">
      <w:pPr>
        <w:pStyle w:val="ListParagraph"/>
        <w:numPr>
          <w:ilvl w:val="2"/>
          <w:numId w:val="1"/>
        </w:numPr>
        <w:spacing w:after="0"/>
        <w:rPr>
          <w:rFonts w:ascii="Bookman Old Style" w:hAnsi="Bookman Old Style"/>
        </w:rPr>
      </w:pPr>
      <w:r w:rsidRPr="000C7EC3">
        <w:rPr>
          <w:rFonts w:ascii="Bookman Old Style" w:hAnsi="Bookman Old Style"/>
        </w:rPr>
        <w:t xml:space="preserve">Best practices for members are to ensure you have full documentation of being enrolled in the wrap, and the clear dates when you worked on the project. </w:t>
      </w:r>
    </w:p>
    <w:p w14:paraId="794EBB70" w14:textId="77777777" w:rsidR="00D563A7" w:rsidRDefault="00D563A7" w:rsidP="00D563A7">
      <w:pPr>
        <w:pStyle w:val="ListParagraph"/>
        <w:numPr>
          <w:ilvl w:val="0"/>
          <w:numId w:val="1"/>
        </w:numPr>
        <w:spacing w:after="0"/>
        <w:rPr>
          <w:rFonts w:ascii="Bookman Old Style" w:hAnsi="Bookman Old Style"/>
        </w:rPr>
      </w:pPr>
      <w:r>
        <w:rPr>
          <w:rFonts w:ascii="Bookman Old Style" w:hAnsi="Bookman Old Style"/>
        </w:rPr>
        <w:t xml:space="preserve">Some parts of the insurance industry are moving towards a hard market. </w:t>
      </w:r>
    </w:p>
    <w:p w14:paraId="5C79BD95" w14:textId="77777777" w:rsidR="00D563A7" w:rsidRDefault="00D563A7" w:rsidP="00D563A7">
      <w:pPr>
        <w:pStyle w:val="ListParagraph"/>
        <w:numPr>
          <w:ilvl w:val="1"/>
          <w:numId w:val="1"/>
        </w:numPr>
        <w:spacing w:after="0"/>
        <w:rPr>
          <w:rFonts w:ascii="Bookman Old Style" w:hAnsi="Bookman Old Style"/>
        </w:rPr>
      </w:pPr>
      <w:r>
        <w:rPr>
          <w:rFonts w:ascii="Bookman Old Style" w:hAnsi="Bookman Old Style"/>
        </w:rPr>
        <w:t xml:space="preserve">Auto liability insurance is going up, due to lots of very large awards in auto accidents. </w:t>
      </w:r>
    </w:p>
    <w:p w14:paraId="456AEDBF" w14:textId="77777777" w:rsidR="00D563A7" w:rsidRDefault="00D563A7" w:rsidP="00D563A7">
      <w:pPr>
        <w:pStyle w:val="ListParagraph"/>
        <w:numPr>
          <w:ilvl w:val="1"/>
          <w:numId w:val="1"/>
        </w:numPr>
        <w:spacing w:after="0"/>
        <w:rPr>
          <w:rFonts w:ascii="Bookman Old Style" w:hAnsi="Bookman Old Style"/>
        </w:rPr>
      </w:pPr>
      <w:r>
        <w:rPr>
          <w:rFonts w:ascii="Bookman Old Style" w:hAnsi="Bookman Old Style"/>
        </w:rPr>
        <w:t>Excess liability insurance is also going up, for many of the same reasons.</w:t>
      </w:r>
    </w:p>
    <w:p w14:paraId="322F9274" w14:textId="77777777" w:rsidR="00D563A7" w:rsidRDefault="00D563A7" w:rsidP="00D563A7">
      <w:pPr>
        <w:pStyle w:val="ListParagraph"/>
        <w:numPr>
          <w:ilvl w:val="1"/>
          <w:numId w:val="1"/>
        </w:numPr>
        <w:spacing w:after="0"/>
        <w:rPr>
          <w:rFonts w:ascii="Bookman Old Style" w:hAnsi="Bookman Old Style"/>
        </w:rPr>
      </w:pPr>
      <w:r>
        <w:rPr>
          <w:rFonts w:ascii="Bookman Old Style" w:hAnsi="Bookman Old Style"/>
        </w:rPr>
        <w:t xml:space="preserve">Professional liability for design issues are going up, as many more design build projects create more potential exposures for contractors and subcontractors involved in design issues. See the next item in the Trade Memo. </w:t>
      </w:r>
    </w:p>
    <w:p w14:paraId="66122C5A" w14:textId="77777777" w:rsidR="00D563A7" w:rsidRDefault="00D563A7" w:rsidP="00D563A7">
      <w:pPr>
        <w:pStyle w:val="ListParagraph"/>
        <w:numPr>
          <w:ilvl w:val="1"/>
          <w:numId w:val="1"/>
        </w:numPr>
        <w:spacing w:after="0"/>
        <w:rPr>
          <w:rFonts w:ascii="Bookman Old Style" w:hAnsi="Bookman Old Style"/>
        </w:rPr>
      </w:pPr>
      <w:r>
        <w:rPr>
          <w:rFonts w:ascii="Bookman Old Style" w:hAnsi="Bookman Old Style"/>
        </w:rPr>
        <w:t xml:space="preserve">CALPASC will be holding a webinar in February 2020 to prepare members to address these issues. </w:t>
      </w:r>
    </w:p>
    <w:p w14:paraId="56A3177F" w14:textId="77777777" w:rsidR="009212D6" w:rsidRDefault="009212D6">
      <w:bookmarkStart w:id="0" w:name="_GoBack"/>
      <w:bookmarkEnd w:id="0"/>
    </w:p>
    <w:sectPr w:rsidR="009212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033F40"/>
    <w:multiLevelType w:val="hybridMultilevel"/>
    <w:tmpl w:val="95F67B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3A7"/>
    <w:rsid w:val="009212D6"/>
    <w:rsid w:val="00D56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4ACEB"/>
  <w15:chartTrackingRefBased/>
  <w15:docId w15:val="{F54A6444-79E4-44B6-B662-78D85D92A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3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63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378</Words>
  <Characters>2159</Characters>
  <Application>Microsoft Office Word</Application>
  <DocSecurity>0</DocSecurity>
  <Lines>17</Lines>
  <Paragraphs>5</Paragraphs>
  <ScaleCrop>false</ScaleCrop>
  <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FSB Admin</dc:creator>
  <cp:keywords/>
  <dc:description/>
  <cp:lastModifiedBy>FSB Admin</cp:lastModifiedBy>
  <cp:revision>1</cp:revision>
  <dcterms:created xsi:type="dcterms:W3CDTF">2019-12-10T22:49:00Z</dcterms:created>
  <dcterms:modified xsi:type="dcterms:W3CDTF">2019-12-10T22:49:00Z</dcterms:modified>
</cp:coreProperties>
</file>