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F1DD" w14:textId="77777777" w:rsidR="00475ED4" w:rsidRPr="007107DA" w:rsidRDefault="00475ED4" w:rsidP="00475ED4">
      <w:pPr>
        <w:spacing w:after="0" w:line="240" w:lineRule="auto"/>
        <w:rPr>
          <w:rFonts w:asciiTheme="minorHAnsi" w:eastAsia="Times New Roman" w:hAnsiTheme="minorHAnsi" w:cstheme="minorHAnsi"/>
          <w:b/>
          <w:bCs/>
          <w:color w:val="auto"/>
          <w:szCs w:val="22"/>
          <w:lang w:eastAsia="en-CA"/>
        </w:rPr>
      </w:pPr>
      <w:r w:rsidRPr="007107DA">
        <w:rPr>
          <w:rFonts w:asciiTheme="minorHAnsi" w:eastAsia="Times New Roman" w:hAnsiTheme="minorHAnsi" w:cstheme="minorHAnsi"/>
          <w:b/>
          <w:bCs/>
          <w:color w:val="auto"/>
          <w:szCs w:val="22"/>
          <w:lang w:eastAsia="en-CA"/>
        </w:rPr>
        <w:t>CURRENT RESTRICTIONS AND SERVICE LIMITATIONS IN WEST PARRY SOUND</w:t>
      </w:r>
    </w:p>
    <w:p w14:paraId="0E2D7638" w14:textId="77777777" w:rsidR="00475ED4" w:rsidRPr="007107DA" w:rsidRDefault="00475ED4" w:rsidP="00475ED4">
      <w:pPr>
        <w:spacing w:after="0" w:line="240" w:lineRule="auto"/>
        <w:jc w:val="both"/>
        <w:rPr>
          <w:rFonts w:asciiTheme="minorHAnsi" w:eastAsia="Times New Roman" w:hAnsiTheme="minorHAnsi" w:cstheme="minorHAnsi"/>
          <w:color w:val="000000"/>
          <w:szCs w:val="22"/>
          <w:lang w:eastAsia="en-CA"/>
        </w:rPr>
      </w:pPr>
      <w:r w:rsidRPr="007107DA">
        <w:rPr>
          <w:rFonts w:asciiTheme="minorHAnsi" w:eastAsia="Times New Roman" w:hAnsiTheme="minorHAnsi" w:cstheme="minorHAnsi"/>
          <w:color w:val="000000"/>
          <w:szCs w:val="22"/>
          <w:lang w:eastAsia="en-CA"/>
        </w:rPr>
        <w:t>It is not business as usual in Ontario and the West Parry Sound area is no exception as we are also impacted by COVID-19.  Below you will find information about current local service interruptions, limitations and restrictions that are in place for permanent and seasonal residents.  For comprehensive information about COVID-19 and Provincial restrictions visit </w:t>
      </w:r>
      <w:hyperlink r:id="rId4" w:history="1">
        <w:r w:rsidRPr="007107DA">
          <w:rPr>
            <w:rFonts w:asciiTheme="minorHAnsi" w:eastAsia="Times New Roman" w:hAnsiTheme="minorHAnsi" w:cstheme="minorHAnsi"/>
            <w:color w:val="169ED9"/>
            <w:szCs w:val="22"/>
            <w:u w:val="single"/>
            <w:lang w:eastAsia="en-CA"/>
          </w:rPr>
          <w:t>www.ontario.ca/coronavirus</w:t>
        </w:r>
      </w:hyperlink>
      <w:r w:rsidRPr="007107DA">
        <w:rPr>
          <w:rFonts w:asciiTheme="minorHAnsi" w:eastAsia="Times New Roman" w:hAnsiTheme="minorHAnsi" w:cstheme="minorHAnsi"/>
          <w:color w:val="000000"/>
          <w:szCs w:val="22"/>
          <w:lang w:eastAsia="en-CA"/>
        </w:rPr>
        <w:t>.</w:t>
      </w:r>
    </w:p>
    <w:p w14:paraId="011CE809" w14:textId="77777777" w:rsidR="00475ED4" w:rsidRPr="007107DA" w:rsidRDefault="00475ED4" w:rsidP="00475ED4">
      <w:pPr>
        <w:spacing w:after="0" w:line="240" w:lineRule="auto"/>
        <w:rPr>
          <w:rFonts w:asciiTheme="minorHAnsi" w:eastAsia="Times New Roman" w:hAnsiTheme="minorHAnsi" w:cstheme="minorHAnsi"/>
          <w:color w:val="000000"/>
          <w:szCs w:val="22"/>
          <w:lang w:eastAsia="en-CA"/>
        </w:rPr>
      </w:pPr>
    </w:p>
    <w:tbl>
      <w:tblPr>
        <w:tblW w:w="9639" w:type="dxa"/>
        <w:tblCellMar>
          <w:top w:w="38" w:type="dxa"/>
          <w:left w:w="38" w:type="dxa"/>
          <w:bottom w:w="38" w:type="dxa"/>
          <w:right w:w="38" w:type="dxa"/>
        </w:tblCellMar>
        <w:tblLook w:val="04A0" w:firstRow="1" w:lastRow="0" w:firstColumn="1" w:lastColumn="0" w:noHBand="0" w:noVBand="1"/>
      </w:tblPr>
      <w:tblGrid>
        <w:gridCol w:w="9639"/>
      </w:tblGrid>
      <w:tr w:rsidR="00475ED4" w:rsidRPr="007107DA" w14:paraId="561F7CE0"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4CFE62C2"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r w:rsidRPr="007107DA">
              <w:rPr>
                <w:rFonts w:asciiTheme="minorHAnsi" w:eastAsia="Times New Roman" w:hAnsiTheme="minorHAnsi" w:cstheme="minorHAnsi"/>
                <w:b/>
                <w:bCs/>
                <w:color w:val="auto"/>
                <w:szCs w:val="22"/>
                <w:lang w:eastAsia="en-CA"/>
              </w:rPr>
              <w:t>SHOPPING</w:t>
            </w:r>
          </w:p>
        </w:tc>
      </w:tr>
      <w:tr w:rsidR="00475ED4" w:rsidRPr="007107DA" w14:paraId="413D7D76"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11067EDC"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Everyone is encouraged to limit shopping trips to once per week, to shop for essential items only and if possible, have one-person shop for the household. Plan ahead and make a list of what you need to limit your number of trips into the store(s) to reduce wait times and lineups.</w:t>
            </w:r>
            <w:r w:rsidRPr="007107DA">
              <w:rPr>
                <w:rFonts w:asciiTheme="minorHAnsi" w:eastAsia="Times New Roman" w:hAnsiTheme="minorHAnsi" w:cstheme="minorHAnsi"/>
                <w:color w:val="auto"/>
                <w:szCs w:val="22"/>
                <w:lang w:eastAsia="en-CA"/>
              </w:rPr>
              <w:br/>
            </w:r>
            <w:r w:rsidRPr="007107DA">
              <w:rPr>
                <w:rFonts w:asciiTheme="minorHAnsi" w:eastAsia="Times New Roman" w:hAnsiTheme="minorHAnsi" w:cstheme="minorHAnsi"/>
                <w:color w:val="auto"/>
                <w:szCs w:val="22"/>
                <w:lang w:eastAsia="en-CA"/>
              </w:rPr>
              <w:br/>
              <w:t>For new arrivals to the community, you are encouraged to please bring what you need from home and be prepared to self support upon your arrival. This will reduce your time spent waiting in line-ups, reducing your stress and supporting continued social distancing.</w:t>
            </w:r>
            <w:r w:rsidRPr="007107DA">
              <w:rPr>
                <w:rFonts w:asciiTheme="minorHAnsi" w:eastAsia="Times New Roman" w:hAnsiTheme="minorHAnsi" w:cstheme="minorHAnsi"/>
                <w:color w:val="auto"/>
                <w:szCs w:val="22"/>
                <w:lang w:eastAsia="en-CA"/>
              </w:rPr>
              <w:br/>
            </w:r>
            <w:r w:rsidRPr="007107DA">
              <w:rPr>
                <w:rFonts w:asciiTheme="minorHAnsi" w:eastAsia="Times New Roman" w:hAnsiTheme="minorHAnsi" w:cstheme="minorHAnsi"/>
                <w:color w:val="auto"/>
                <w:szCs w:val="22"/>
                <w:lang w:eastAsia="en-CA"/>
              </w:rPr>
              <w:br/>
              <w:t>Please be patient, positive and friendly to those working in our stores, the combination of COVID-19 procedural changes, staffing shortages, and an influx of seasonal residents arriving for the summer season will cause delays, these staff members are doing their best to serve you in a timely and safe manner.</w:t>
            </w:r>
            <w:r w:rsidRPr="007107DA">
              <w:rPr>
                <w:rFonts w:asciiTheme="minorHAnsi" w:eastAsia="Times New Roman" w:hAnsiTheme="minorHAnsi" w:cstheme="minorHAnsi"/>
                <w:color w:val="auto"/>
                <w:szCs w:val="22"/>
                <w:lang w:eastAsia="en-CA"/>
              </w:rPr>
              <w:br/>
            </w:r>
            <w:r w:rsidRPr="007107DA">
              <w:rPr>
                <w:rFonts w:asciiTheme="minorHAnsi" w:eastAsia="Times New Roman" w:hAnsiTheme="minorHAnsi" w:cstheme="minorHAnsi"/>
                <w:color w:val="auto"/>
                <w:szCs w:val="22"/>
                <w:lang w:eastAsia="en-CA"/>
              </w:rPr>
              <w:br/>
              <w:t>Remember non-essential businesses that are typically open for the May long remain closed or have limited services such as curb-side pick-up, while they are preparing to serve you after Provincial restrictions are lifted, their services will be limited or not available.</w:t>
            </w:r>
          </w:p>
        </w:tc>
      </w:tr>
      <w:tr w:rsidR="00475ED4" w:rsidRPr="007107DA" w14:paraId="5F2D7C5B"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6F02F2E7"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r w:rsidRPr="007107DA">
              <w:rPr>
                <w:rFonts w:asciiTheme="minorHAnsi" w:eastAsia="Times New Roman" w:hAnsiTheme="minorHAnsi" w:cstheme="minorHAnsi"/>
                <w:b/>
                <w:bCs/>
                <w:color w:val="auto"/>
                <w:szCs w:val="22"/>
                <w:lang w:eastAsia="en-CA"/>
              </w:rPr>
              <w:t>GROCERY STORES</w:t>
            </w:r>
          </w:p>
        </w:tc>
      </w:tr>
      <w:tr w:rsidR="00475ED4" w:rsidRPr="007107DA" w14:paraId="370B1F1F"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6F089363"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Local grocery stores are well stocked with supplies, however due to measures in place to prevent the spread of COVID-19 and to protect their customers and staff, our grocery stores have special procedures in place to limit the number of people in the stores at one time to ensure physical distancing is possible.</w:t>
            </w:r>
            <w:r w:rsidRPr="007107DA">
              <w:rPr>
                <w:rFonts w:asciiTheme="minorHAnsi" w:eastAsia="Times New Roman" w:hAnsiTheme="minorHAnsi" w:cstheme="minorHAnsi"/>
                <w:color w:val="auto"/>
                <w:szCs w:val="22"/>
                <w:lang w:eastAsia="en-CA"/>
              </w:rPr>
              <w:br/>
              <w:t>This means delays entering the stores, you will be required to line up and wait your turn to enter. Physical distancing measures are also in place throughout the stores including one-way isles and changes to check out procedures. </w:t>
            </w:r>
          </w:p>
        </w:tc>
      </w:tr>
      <w:tr w:rsidR="00475ED4" w:rsidRPr="007107DA" w14:paraId="179F3439"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40B5C04E"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r w:rsidRPr="007107DA">
              <w:rPr>
                <w:rFonts w:asciiTheme="minorHAnsi" w:eastAsia="Times New Roman" w:hAnsiTheme="minorHAnsi" w:cstheme="minorHAnsi"/>
                <w:b/>
                <w:bCs/>
                <w:color w:val="auto"/>
                <w:szCs w:val="22"/>
                <w:lang w:eastAsia="en-CA"/>
              </w:rPr>
              <w:t>HARDWARE STORES &amp; GARDEN CENTRES</w:t>
            </w:r>
          </w:p>
        </w:tc>
      </w:tr>
      <w:tr w:rsidR="00475ED4" w:rsidRPr="007107DA" w14:paraId="7DA4D13D"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51A337E9"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Effective May 8 &amp; 9, 2020 Hardware stores and Garden Centres were permitted to re-open to in-store shopping. Our stores have re-opened however they have procedural changes and restrictions in place to ensure physical distancing is practiced, these include limiting the number of people in the stores.</w:t>
            </w:r>
          </w:p>
        </w:tc>
      </w:tr>
      <w:tr w:rsidR="00475ED4" w:rsidRPr="007107DA" w14:paraId="7E417964"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36FC0B12"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b/>
                <w:bCs/>
                <w:color w:val="auto"/>
                <w:szCs w:val="22"/>
                <w:lang w:eastAsia="en-CA"/>
              </w:rPr>
              <w:t> LOCAL RESTAURANTS OFFERING TAKE-OUT OR DELIVERY</w:t>
            </w:r>
          </w:p>
        </w:tc>
      </w:tr>
      <w:tr w:rsidR="00475ED4" w:rsidRPr="007107DA" w14:paraId="5B8D536C"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30DAF8F3"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While restaurants have been ordered closed to public access, they are still able to offer take-out or delivery services. </w:t>
            </w:r>
            <w:r w:rsidRPr="007107DA">
              <w:rPr>
                <w:rFonts w:asciiTheme="minorHAnsi" w:eastAsia="Times New Roman" w:hAnsiTheme="minorHAnsi" w:cstheme="minorHAnsi"/>
                <w:color w:val="auto"/>
                <w:szCs w:val="22"/>
                <w:lang w:eastAsia="en-CA"/>
              </w:rPr>
              <w:br/>
            </w:r>
            <w:r w:rsidRPr="007107DA">
              <w:rPr>
                <w:rFonts w:asciiTheme="minorHAnsi" w:eastAsia="Times New Roman" w:hAnsiTheme="minorHAnsi" w:cstheme="minorHAnsi"/>
                <w:color w:val="auto"/>
                <w:szCs w:val="22"/>
                <w:lang w:eastAsia="en-CA"/>
              </w:rPr>
              <w:br/>
            </w:r>
            <w:hyperlink r:id="rId5" w:tgtFrame="_blank" w:tooltip="View restaurants List" w:history="1">
              <w:r w:rsidRPr="007107DA">
                <w:rPr>
                  <w:rFonts w:asciiTheme="minorHAnsi" w:eastAsia="Times New Roman" w:hAnsiTheme="minorHAnsi" w:cstheme="minorHAnsi"/>
                  <w:color w:val="169ED9"/>
                  <w:szCs w:val="22"/>
                  <w:u w:val="single"/>
                  <w:lang w:eastAsia="en-CA"/>
                </w:rPr>
                <w:t>Click here</w:t>
              </w:r>
            </w:hyperlink>
            <w:r w:rsidRPr="007107DA">
              <w:rPr>
                <w:rFonts w:asciiTheme="minorHAnsi" w:eastAsia="Times New Roman" w:hAnsiTheme="minorHAnsi" w:cstheme="minorHAnsi"/>
                <w:color w:val="auto"/>
                <w:szCs w:val="22"/>
                <w:lang w:eastAsia="en-CA"/>
              </w:rPr>
              <w:t> for a list of food providers in the West Parry Sound Area offering take-out and/or delivery options.</w:t>
            </w:r>
          </w:p>
        </w:tc>
      </w:tr>
      <w:tr w:rsidR="00475ED4" w:rsidRPr="007107DA" w14:paraId="6D4E0B1C"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57C64B92"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r w:rsidRPr="007107DA">
              <w:rPr>
                <w:rFonts w:asciiTheme="minorHAnsi" w:eastAsia="Times New Roman" w:hAnsiTheme="minorHAnsi" w:cstheme="minorHAnsi"/>
                <w:b/>
                <w:bCs/>
                <w:color w:val="auto"/>
                <w:szCs w:val="22"/>
                <w:lang w:eastAsia="en-CA"/>
              </w:rPr>
              <w:t>BURNING RESTRICTIONS</w:t>
            </w:r>
          </w:p>
        </w:tc>
      </w:tr>
      <w:tr w:rsidR="00475ED4" w:rsidRPr="007107DA" w14:paraId="20AAFE64"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660D20AA"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lastRenderedPageBreak/>
              <w:t>There is a </w:t>
            </w:r>
            <w:hyperlink r:id="rId6" w:history="1">
              <w:r w:rsidRPr="007107DA">
                <w:rPr>
                  <w:rFonts w:asciiTheme="minorHAnsi" w:eastAsia="Times New Roman" w:hAnsiTheme="minorHAnsi" w:cstheme="minorHAnsi"/>
                  <w:color w:val="169ED9"/>
                  <w:szCs w:val="22"/>
                  <w:u w:val="single"/>
                  <w:lang w:eastAsia="en-CA"/>
                </w:rPr>
                <w:t>Provincial Restricted Fire Zone</w:t>
              </w:r>
            </w:hyperlink>
            <w:r w:rsidRPr="007107DA">
              <w:rPr>
                <w:rFonts w:asciiTheme="minorHAnsi" w:eastAsia="Times New Roman" w:hAnsiTheme="minorHAnsi" w:cstheme="minorHAnsi"/>
                <w:color w:val="auto"/>
                <w:szCs w:val="22"/>
                <w:lang w:eastAsia="en-CA"/>
              </w:rPr>
              <w:t> in place for the entire Parry Sound District.  All burn</w:t>
            </w:r>
            <w:r w:rsidRPr="007107DA">
              <w:rPr>
                <w:rFonts w:asciiTheme="minorHAnsi" w:eastAsia="Times New Roman" w:hAnsiTheme="minorHAnsi" w:cstheme="minorHAnsi"/>
                <w:color w:val="1A1818"/>
                <w:szCs w:val="22"/>
                <w:lang w:eastAsia="en-CA"/>
              </w:rPr>
              <w:t>ing,</w:t>
            </w:r>
            <w:r w:rsidRPr="007107DA">
              <w:rPr>
                <w:rFonts w:asciiTheme="minorHAnsi" w:eastAsia="Times New Roman" w:hAnsiTheme="minorHAnsi" w:cstheme="minorHAnsi"/>
                <w:color w:val="auto"/>
                <w:szCs w:val="22"/>
                <w:lang w:eastAsia="en-CA"/>
              </w:rPr>
              <w:t> including campfires for cooking and warmth, are strictly prohibited. </w:t>
            </w:r>
            <w:r w:rsidRPr="007107DA">
              <w:rPr>
                <w:rFonts w:asciiTheme="minorHAnsi" w:eastAsia="Times New Roman" w:hAnsiTheme="minorHAnsi" w:cstheme="minorHAnsi"/>
                <w:color w:val="auto"/>
                <w:szCs w:val="22"/>
                <w:lang w:eastAsia="en-CA"/>
              </w:rPr>
              <w:br/>
            </w:r>
            <w:r w:rsidRPr="007107DA">
              <w:rPr>
                <w:rFonts w:asciiTheme="minorHAnsi" w:eastAsia="Times New Roman" w:hAnsiTheme="minorHAnsi" w:cstheme="minorHAnsi"/>
                <w:color w:val="auto"/>
                <w:szCs w:val="22"/>
                <w:lang w:eastAsia="en-CA"/>
              </w:rPr>
              <w:br/>
              <w:t>An individual caught burning will be given a fine ranging from $250 - $500 per offence and may be charged additional service fees by their Municipality. Additionally, fines and fees could be charged by the Ministry of Natural Resources and Forestry (MNRF).</w:t>
            </w:r>
          </w:p>
        </w:tc>
      </w:tr>
    </w:tbl>
    <w:p w14:paraId="5AEDF3A1" w14:textId="77777777" w:rsidR="00475ED4" w:rsidRPr="007107DA" w:rsidRDefault="00475ED4" w:rsidP="00475ED4">
      <w:pPr>
        <w:spacing w:after="0" w:line="240" w:lineRule="auto"/>
        <w:rPr>
          <w:rFonts w:asciiTheme="minorHAnsi" w:eastAsia="Times New Roman" w:hAnsiTheme="minorHAnsi" w:cstheme="minorHAnsi"/>
          <w:color w:val="000000"/>
          <w:szCs w:val="22"/>
          <w:lang w:eastAsia="en-CA"/>
        </w:rPr>
      </w:pPr>
    </w:p>
    <w:tbl>
      <w:tblPr>
        <w:tblW w:w="9639" w:type="dxa"/>
        <w:tblCellMar>
          <w:top w:w="38" w:type="dxa"/>
          <w:left w:w="38" w:type="dxa"/>
          <w:bottom w:w="38" w:type="dxa"/>
          <w:right w:w="38" w:type="dxa"/>
        </w:tblCellMar>
        <w:tblLook w:val="04A0" w:firstRow="1" w:lastRow="0" w:firstColumn="1" w:lastColumn="0" w:noHBand="0" w:noVBand="1"/>
      </w:tblPr>
      <w:tblGrid>
        <w:gridCol w:w="9639"/>
      </w:tblGrid>
      <w:tr w:rsidR="00475ED4" w:rsidRPr="007107DA" w14:paraId="55DBA2C9"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75A85541"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r w:rsidRPr="007107DA">
              <w:rPr>
                <w:rFonts w:asciiTheme="minorHAnsi" w:eastAsia="Times New Roman" w:hAnsiTheme="minorHAnsi" w:cstheme="minorHAnsi"/>
                <w:b/>
                <w:bCs/>
                <w:color w:val="auto"/>
                <w:szCs w:val="22"/>
                <w:lang w:eastAsia="en-CA"/>
              </w:rPr>
              <w:t>CROWN LAND CAMPING RESTRICTIONS</w:t>
            </w:r>
          </w:p>
        </w:tc>
      </w:tr>
      <w:tr w:rsidR="00475ED4" w:rsidRPr="007107DA" w14:paraId="4F73A4E2"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6600E2BE"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hyperlink r:id="rId7" w:history="1">
              <w:r w:rsidRPr="007107DA">
                <w:rPr>
                  <w:rFonts w:asciiTheme="minorHAnsi" w:eastAsia="Times New Roman" w:hAnsiTheme="minorHAnsi" w:cstheme="minorHAnsi"/>
                  <w:color w:val="169ED9"/>
                  <w:szCs w:val="22"/>
                  <w:u w:val="single"/>
                  <w:lang w:eastAsia="en-CA"/>
                </w:rPr>
                <w:t>Under the emergency order, no individual can camp on Crown Land while the order is in effect.</w:t>
              </w:r>
            </w:hyperlink>
          </w:p>
          <w:p w14:paraId="4B07782D"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p>
          <w:p w14:paraId="789A386D"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Any equipment used for the purpose of outdoor recreational accommodation such as a tent, trailer, tent trailer, recreational vehicle, camper-back and any watercraft equipped for overnight accommodation are prohibited on public lands, including those covered by water.</w:t>
            </w:r>
          </w:p>
        </w:tc>
      </w:tr>
      <w:tr w:rsidR="00475ED4" w:rsidRPr="007107DA" w14:paraId="093022D8"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22895289"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b/>
                <w:bCs/>
                <w:color w:val="auto"/>
                <w:szCs w:val="22"/>
                <w:lang w:eastAsia="en-CA"/>
              </w:rPr>
              <w:t> MARINAS</w:t>
            </w:r>
          </w:p>
        </w:tc>
      </w:tr>
      <w:tr w:rsidR="00475ED4" w:rsidRPr="007107DA" w14:paraId="4C0E9126"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16B5807A"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On May 4, 2020 Marinas were added to the essential services list for preparations for future public openings only.  At this time, marinas remain closed to the public, except to facilitate access for persons with a water access property.</w:t>
            </w:r>
          </w:p>
        </w:tc>
      </w:tr>
      <w:tr w:rsidR="00475ED4" w:rsidRPr="007107DA" w14:paraId="5C313EE2"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65E34DEC"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r w:rsidRPr="007107DA">
              <w:rPr>
                <w:rFonts w:asciiTheme="minorHAnsi" w:eastAsia="Times New Roman" w:hAnsiTheme="minorHAnsi" w:cstheme="minorHAnsi"/>
                <w:b/>
                <w:bCs/>
                <w:color w:val="auto"/>
                <w:szCs w:val="22"/>
                <w:lang w:eastAsia="en-CA"/>
              </w:rPr>
              <w:t>WATER ACCESS SITES</w:t>
            </w:r>
          </w:p>
        </w:tc>
      </w:tr>
      <w:tr w:rsidR="00475ED4" w:rsidRPr="007107DA" w14:paraId="6C863868"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6846505F"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Starting the week of May 11, 2020, the Township will begin opening water access sites.</w:t>
            </w:r>
          </w:p>
        </w:tc>
      </w:tr>
      <w:tr w:rsidR="00475ED4" w:rsidRPr="007107DA" w14:paraId="44E8CB43"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742EDD32"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b/>
                <w:bCs/>
                <w:color w:val="auto"/>
                <w:szCs w:val="22"/>
                <w:lang w:eastAsia="en-CA"/>
              </w:rPr>
              <w:t> NO GROUPS GREATER THAN FIVE</w:t>
            </w:r>
          </w:p>
        </w:tc>
      </w:tr>
      <w:tr w:rsidR="00475ED4" w:rsidRPr="007107DA" w14:paraId="5EBB44DE"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31CAAC2C"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hyperlink r:id="rId8" w:history="1">
              <w:r w:rsidRPr="007107DA">
                <w:rPr>
                  <w:rFonts w:asciiTheme="minorHAnsi" w:eastAsia="Times New Roman" w:hAnsiTheme="minorHAnsi" w:cstheme="minorHAnsi"/>
                  <w:color w:val="169ED9"/>
                  <w:szCs w:val="22"/>
                  <w:u w:val="single"/>
                  <w:lang w:eastAsia="en-CA"/>
                </w:rPr>
                <w:t>Public events and social gatherings of more than five people are prohibited by the Province of Ontario.</w:t>
              </w:r>
            </w:hyperlink>
          </w:p>
          <w:p w14:paraId="473BDDDD"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br/>
              <w:t>Get togethers with friends and family members outside of your household resulting in a group greater than five people is strictly prohibited.</w:t>
            </w:r>
          </w:p>
        </w:tc>
      </w:tr>
      <w:tr w:rsidR="00475ED4" w:rsidRPr="007107DA" w14:paraId="368FFD88"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514DF3D4"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 </w:t>
            </w:r>
            <w:r w:rsidRPr="007107DA">
              <w:rPr>
                <w:rFonts w:asciiTheme="minorHAnsi" w:eastAsia="Times New Roman" w:hAnsiTheme="minorHAnsi" w:cstheme="minorHAnsi"/>
                <w:b/>
                <w:bCs/>
                <w:color w:val="auto"/>
                <w:szCs w:val="22"/>
                <w:lang w:eastAsia="en-CA"/>
              </w:rPr>
              <w:t>PHYSICAL DISTANCING ON THE WATER</w:t>
            </w:r>
          </w:p>
        </w:tc>
      </w:tr>
      <w:tr w:rsidR="00475ED4" w:rsidRPr="007107DA" w14:paraId="4DD26A46"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4CFE2B5D"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Physical distancing rules still apply, even on the water. If you need to go out on the water, please take precautions to ensure you are being safe and continuing to distance from others, this means no beaching your boat next to someone else and no rafting up while on the water.</w:t>
            </w:r>
          </w:p>
        </w:tc>
      </w:tr>
    </w:tbl>
    <w:p w14:paraId="1C43D0F4" w14:textId="77777777" w:rsidR="00475ED4" w:rsidRPr="007107DA" w:rsidRDefault="00475ED4" w:rsidP="00475ED4">
      <w:pPr>
        <w:spacing w:after="0" w:line="240" w:lineRule="auto"/>
        <w:rPr>
          <w:rFonts w:asciiTheme="minorHAnsi" w:eastAsia="Times New Roman" w:hAnsiTheme="minorHAnsi" w:cstheme="minorHAnsi"/>
          <w:color w:val="000000"/>
          <w:szCs w:val="22"/>
          <w:lang w:eastAsia="en-CA"/>
        </w:rPr>
      </w:pPr>
    </w:p>
    <w:tbl>
      <w:tblPr>
        <w:tblW w:w="9639" w:type="dxa"/>
        <w:tblCellMar>
          <w:top w:w="38" w:type="dxa"/>
          <w:left w:w="38" w:type="dxa"/>
          <w:bottom w:w="38" w:type="dxa"/>
          <w:right w:w="38" w:type="dxa"/>
        </w:tblCellMar>
        <w:tblLook w:val="04A0" w:firstRow="1" w:lastRow="0" w:firstColumn="1" w:lastColumn="0" w:noHBand="0" w:noVBand="1"/>
      </w:tblPr>
      <w:tblGrid>
        <w:gridCol w:w="9639"/>
      </w:tblGrid>
      <w:tr w:rsidR="00475ED4" w:rsidRPr="007107DA" w14:paraId="41752B30"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auto"/>
            <w:tcMar>
              <w:top w:w="90" w:type="dxa"/>
              <w:left w:w="90" w:type="dxa"/>
              <w:bottom w:w="90" w:type="dxa"/>
              <w:right w:w="90" w:type="dxa"/>
            </w:tcMar>
            <w:vAlign w:val="center"/>
            <w:hideMark/>
          </w:tcPr>
          <w:p w14:paraId="70B3EC17" w14:textId="77777777" w:rsidR="00475ED4" w:rsidRPr="007107DA" w:rsidRDefault="00475ED4" w:rsidP="0005038B">
            <w:pPr>
              <w:spacing w:after="0" w:line="240" w:lineRule="auto"/>
              <w:jc w:val="center"/>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b/>
                <w:bCs/>
                <w:color w:val="auto"/>
                <w:szCs w:val="22"/>
                <w:lang w:eastAsia="en-CA"/>
              </w:rPr>
              <w:t> TRAVEL BETWEEN COMMUNITIES</w:t>
            </w:r>
          </w:p>
        </w:tc>
      </w:tr>
      <w:tr w:rsidR="00475ED4" w:rsidRPr="007107DA" w14:paraId="05D6970E" w14:textId="77777777" w:rsidTr="0005038B">
        <w:tc>
          <w:tcPr>
            <w:tcW w:w="0" w:type="auto"/>
            <w:tcBorders>
              <w:top w:val="single" w:sz="6" w:space="0" w:color="050505"/>
              <w:left w:val="single" w:sz="6" w:space="0" w:color="050505"/>
              <w:bottom w:val="single" w:sz="6" w:space="0" w:color="050505"/>
              <w:right w:val="single" w:sz="6" w:space="0" w:color="050505"/>
            </w:tcBorders>
            <w:shd w:val="clear" w:color="auto" w:fill="EEF0F2"/>
            <w:tcMar>
              <w:top w:w="90" w:type="dxa"/>
              <w:left w:w="90" w:type="dxa"/>
              <w:bottom w:w="90" w:type="dxa"/>
              <w:right w:w="90" w:type="dxa"/>
            </w:tcMar>
            <w:vAlign w:val="center"/>
            <w:hideMark/>
          </w:tcPr>
          <w:p w14:paraId="47069B97"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Traveling outside of your community for any reason puts yourself and others at risk of contracting COVID-19. Although it may seem harmless to go out of the area to do your grocery shopping or visit a family member, you risk spreading the virus to another community or bringing it back to your own.</w:t>
            </w:r>
          </w:p>
          <w:p w14:paraId="638BD0D0" w14:textId="77777777" w:rsidR="00475ED4" w:rsidRPr="007107DA" w:rsidRDefault="00475ED4" w:rsidP="0005038B">
            <w:pPr>
              <w:spacing w:after="0" w:line="240" w:lineRule="auto"/>
              <w:rPr>
                <w:rFonts w:asciiTheme="minorHAnsi" w:eastAsia="Times New Roman" w:hAnsiTheme="minorHAnsi" w:cstheme="minorHAnsi"/>
                <w:color w:val="auto"/>
                <w:szCs w:val="22"/>
                <w:lang w:eastAsia="en-CA"/>
              </w:rPr>
            </w:pPr>
            <w:r w:rsidRPr="007107DA">
              <w:rPr>
                <w:rFonts w:asciiTheme="minorHAnsi" w:eastAsia="Times New Roman" w:hAnsiTheme="minorHAnsi" w:cstheme="minorHAnsi"/>
                <w:color w:val="auto"/>
                <w:szCs w:val="22"/>
                <w:lang w:eastAsia="en-CA"/>
              </w:rPr>
              <w:t>Car accidents, breakdowns and unplanned bathroom breaks could also risk furthering the spread of the virus.</w:t>
            </w:r>
          </w:p>
        </w:tc>
      </w:tr>
    </w:tbl>
    <w:p w14:paraId="46B18BC9" w14:textId="77777777" w:rsidR="006203AA" w:rsidRDefault="00475ED4"/>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D4"/>
    <w:rsid w:val="00475ED4"/>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DD5ED"/>
  <w15:chartTrackingRefBased/>
  <w15:docId w15:val="{1B416957-7AE0-8649-8B04-10F188D9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D4"/>
    <w:pPr>
      <w:spacing w:after="120" w:line="259" w:lineRule="auto"/>
    </w:pPr>
    <w:rPr>
      <w:rFonts w:ascii="Calibri" w:hAnsi="Calibri"/>
      <w:color w:val="595959" w:themeColor="text1" w:themeTint="A6"/>
      <w:sz w:val="22"/>
      <w:szCs w:val="3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opo/en/2020/03/ontario-prohibits-gatherings-of-five-people-or-more-with-strict-exceptions.html" TargetMode="External"/><Relationship Id="rId3" Type="http://schemas.openxmlformats.org/officeDocument/2006/relationships/webSettings" Target="webSettings.xml"/><Relationship Id="rId7" Type="http://schemas.openxmlformats.org/officeDocument/2006/relationships/hyperlink" Target="http://archipelago.municipalwebsites.ca/Editor/images/DOCUMENTS/Protection_enforcement/solgen-oic-crown-land-camp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ario.ca/page/forest-fires" TargetMode="External"/><Relationship Id="rId5" Type="http://schemas.openxmlformats.org/officeDocument/2006/relationships/hyperlink" Target="https://www.parrysound.ca/en/inside-town-hall/resources/COVID-19/Restaurants-List---Takeout-and-delivery.pdf" TargetMode="External"/><Relationship Id="rId10" Type="http://schemas.openxmlformats.org/officeDocument/2006/relationships/theme" Target="theme/theme1.xml"/><Relationship Id="rId4" Type="http://schemas.openxmlformats.org/officeDocument/2006/relationships/hyperlink" Target="http://covid-19.ontario.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2020-05-13T02:51:00Z</dcterms:created>
  <dcterms:modified xsi:type="dcterms:W3CDTF">2020-05-13T02:51:00Z</dcterms:modified>
</cp:coreProperties>
</file>