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A9" w:rsidRDefault="00197401" w:rsidP="006807A9">
      <w:pPr>
        <w:jc w:val="center"/>
        <w:rPr>
          <w:b/>
          <w:u w:val="single"/>
        </w:rPr>
      </w:pPr>
      <w:r>
        <w:rPr>
          <w:b/>
          <w:u w:val="single"/>
        </w:rPr>
        <w:t xml:space="preserve">Georgia’s P-20 Regional Collaboratives: </w:t>
      </w:r>
      <w:r w:rsidR="006640A7">
        <w:rPr>
          <w:b/>
          <w:u w:val="single"/>
        </w:rPr>
        <w:t>Silo-f</w:t>
      </w:r>
      <w:r w:rsidR="00142C0B">
        <w:rPr>
          <w:b/>
          <w:u w:val="single"/>
        </w:rPr>
        <w:t>ree Workspace</w:t>
      </w:r>
      <w:r>
        <w:rPr>
          <w:b/>
          <w:u w:val="single"/>
        </w:rPr>
        <w:t>s</w:t>
      </w:r>
    </w:p>
    <w:p w:rsidR="00697D04" w:rsidRDefault="00697D04" w:rsidP="00697D04">
      <w:pPr>
        <w:spacing w:after="0"/>
        <w:jc w:val="center"/>
        <w:rPr>
          <w:b/>
          <w:i/>
        </w:rPr>
      </w:pPr>
      <w:r>
        <w:rPr>
          <w:b/>
          <w:i/>
        </w:rPr>
        <w:t xml:space="preserve">Angie Gant, </w:t>
      </w:r>
      <w:proofErr w:type="gramStart"/>
      <w:r>
        <w:rPr>
          <w:b/>
          <w:i/>
        </w:rPr>
        <w:t>Ed.D.,</w:t>
      </w:r>
      <w:proofErr w:type="gramEnd"/>
      <w:r>
        <w:rPr>
          <w:b/>
          <w:i/>
        </w:rPr>
        <w:t xml:space="preserve"> Director of Program Approval, Georgia Professional Standards Commission</w:t>
      </w:r>
    </w:p>
    <w:p w:rsidR="00697D04" w:rsidRPr="00697D04" w:rsidRDefault="00697D04" w:rsidP="006807A9">
      <w:pPr>
        <w:jc w:val="center"/>
        <w:rPr>
          <w:b/>
          <w:i/>
        </w:rPr>
      </w:pPr>
      <w:r>
        <w:rPr>
          <w:b/>
          <w:i/>
        </w:rPr>
        <w:t>Paige Tompkins, Ph.D., Director of P-12 Educator Preparation, University of Georgia</w:t>
      </w:r>
      <w:bookmarkStart w:id="0" w:name="_GoBack"/>
      <w:bookmarkEnd w:id="0"/>
    </w:p>
    <w:p w:rsidR="0078531A" w:rsidRDefault="00352F2A" w:rsidP="00237648">
      <w:r w:rsidRPr="00142C0B">
        <w:t xml:space="preserve">Silos exist in nearly all professions. The organizational structure of the education profession, in particular, lends itself to groups, and often individuals, </w:t>
      </w:r>
      <w:r w:rsidR="00D5743C" w:rsidRPr="001C51F3">
        <w:t>who</w:t>
      </w:r>
      <w:r w:rsidRPr="00142C0B">
        <w:t xml:space="preserve"> tend to work in isolation, in professional silos. </w:t>
      </w:r>
      <w:r w:rsidR="00D5743C" w:rsidRPr="00142C0B">
        <w:t>Even within the same school, c</w:t>
      </w:r>
      <w:r w:rsidR="00D12152" w:rsidRPr="00142C0B">
        <w:t>lassroom teachers often work alone</w:t>
      </w:r>
      <w:r w:rsidR="00D5743C" w:rsidRPr="00142C0B">
        <w:t xml:space="preserve"> with their students, away from other teachers</w:t>
      </w:r>
      <w:r w:rsidR="00237648" w:rsidRPr="00142C0B">
        <w:t xml:space="preserve">. </w:t>
      </w:r>
      <w:r w:rsidR="00D5743C" w:rsidRPr="00142C0B">
        <w:t>Different s</w:t>
      </w:r>
      <w:r w:rsidR="0032795E" w:rsidRPr="00142C0B">
        <w:t>chool</w:t>
      </w:r>
      <w:r w:rsidR="002403CF" w:rsidRPr="00142C0B">
        <w:t>s</w:t>
      </w:r>
      <w:r w:rsidR="006319F4">
        <w:t xml:space="preserve"> within the same district </w:t>
      </w:r>
      <w:r w:rsidR="002403CF" w:rsidRPr="00142C0B">
        <w:t>operate</w:t>
      </w:r>
      <w:r w:rsidR="00237648" w:rsidRPr="00142C0B">
        <w:t xml:space="preserve"> </w:t>
      </w:r>
      <w:r w:rsidR="00D5743C" w:rsidRPr="00142C0B">
        <w:t>in isolation from other schools</w:t>
      </w:r>
      <w:r w:rsidR="00820DE1">
        <w:t xml:space="preserve">. Two significant silos that exist in our profession </w:t>
      </w:r>
      <w:r w:rsidR="00D149AE">
        <w:t>are Educator P</w:t>
      </w:r>
      <w:r w:rsidR="00820DE1">
        <w:t>repa</w:t>
      </w:r>
      <w:r w:rsidR="00D149AE">
        <w:t>ration P</w:t>
      </w:r>
      <w:r w:rsidR="00820DE1">
        <w:t xml:space="preserve">roviders (EPPs) and school districts. </w:t>
      </w:r>
      <w:r w:rsidR="002403CF" w:rsidRPr="00142C0B">
        <w:t xml:space="preserve">Historically, EPPs have </w:t>
      </w:r>
      <w:r w:rsidR="005B414F" w:rsidRPr="00142C0B">
        <w:t xml:space="preserve">assumed responsibility for </w:t>
      </w:r>
      <w:r w:rsidR="005B414F" w:rsidRPr="00142C0B">
        <w:rPr>
          <w:i/>
        </w:rPr>
        <w:t>preparing</w:t>
      </w:r>
      <w:r w:rsidR="005B414F" w:rsidRPr="00142C0B">
        <w:t xml:space="preserve"> future teachers, while school districts take responsibility for </w:t>
      </w:r>
      <w:r w:rsidR="005B414F" w:rsidRPr="00142C0B">
        <w:rPr>
          <w:i/>
        </w:rPr>
        <w:t>inducting</w:t>
      </w:r>
      <w:r w:rsidR="005B414F" w:rsidRPr="00142C0B">
        <w:t xml:space="preserve"> those recently prepared teachers into the profession, placing teachers into service and providing </w:t>
      </w:r>
      <w:r w:rsidR="00820DE1">
        <w:t xml:space="preserve">necessary </w:t>
      </w:r>
      <w:r w:rsidR="005B414F" w:rsidRPr="00142C0B">
        <w:t xml:space="preserve">professional </w:t>
      </w:r>
      <w:r w:rsidR="002F09CE" w:rsidRPr="00A7683E">
        <w:t>learning</w:t>
      </w:r>
      <w:r w:rsidR="00820DE1">
        <w:t xml:space="preserve">. </w:t>
      </w:r>
      <w:r w:rsidR="00C72DBA" w:rsidRPr="00142C0B">
        <w:t xml:space="preserve">EPPs have provided the bulk of teacher candidate preparation </w:t>
      </w:r>
      <w:r w:rsidR="00B72DC1">
        <w:t>in relative isolation</w:t>
      </w:r>
      <w:r w:rsidR="005B414F" w:rsidRPr="00142C0B">
        <w:t xml:space="preserve">, away from the schools </w:t>
      </w:r>
      <w:r w:rsidR="00B72DC1">
        <w:t xml:space="preserve">where </w:t>
      </w:r>
      <w:r w:rsidR="005B414F" w:rsidRPr="00142C0B">
        <w:t>their teacher candidates are placed for field experiences. And vice versa – partner schools and districts have gone about</w:t>
      </w:r>
      <w:r w:rsidR="00C72DBA" w:rsidRPr="00142C0B">
        <w:t xml:space="preserve"> inducting teachers into service, </w:t>
      </w:r>
      <w:r w:rsidR="005B414F" w:rsidRPr="00142C0B">
        <w:t>detached from t</w:t>
      </w:r>
      <w:r w:rsidR="00C72DBA" w:rsidRPr="00142C0B">
        <w:t>he EPPs who prepared those teachers.</w:t>
      </w:r>
      <w:r w:rsidR="0078531A">
        <w:t xml:space="preserve"> </w:t>
      </w:r>
    </w:p>
    <w:p w:rsidR="00284BE8" w:rsidRPr="00142C0B" w:rsidRDefault="0078531A" w:rsidP="00237648">
      <w:r>
        <w:t>The</w:t>
      </w:r>
      <w:r w:rsidR="008D567E">
        <w:t>se</w:t>
      </w:r>
      <w:r>
        <w:t xml:space="preserve"> two silos operating in isolation from one another is not inherently bad</w:t>
      </w:r>
      <w:r w:rsidR="007549AA">
        <w:t>, as t</w:t>
      </w:r>
      <w:r>
        <w:t xml:space="preserve">he silos help provide necessary organizational structure and aid in setting boundaries. </w:t>
      </w:r>
      <w:r w:rsidR="007549AA">
        <w:t>Good things happen</w:t>
      </w:r>
      <w:r w:rsidR="00ED339F">
        <w:t xml:space="preserve"> </w:t>
      </w:r>
      <w:r w:rsidR="007549AA">
        <w:t xml:space="preserve">at universities </w:t>
      </w:r>
      <w:r w:rsidR="00ED339F">
        <w:t>and in school districts, even when</w:t>
      </w:r>
      <w:r w:rsidR="007549AA">
        <w:t xml:space="preserve"> they operate in silos. </w:t>
      </w:r>
      <w:r>
        <w:t xml:space="preserve">Could it be </w:t>
      </w:r>
      <w:r w:rsidR="007549AA">
        <w:t xml:space="preserve">more </w:t>
      </w:r>
      <w:r>
        <w:t xml:space="preserve">beneficial, however, to step out of those silos to work more closely together? </w:t>
      </w:r>
      <w:r w:rsidRPr="003101BA">
        <w:t>Could we achieve a greater good</w:t>
      </w:r>
      <w:r w:rsidR="009C5FF6" w:rsidRPr="003101BA">
        <w:t xml:space="preserve"> together? Specifically</w:t>
      </w:r>
      <w:r w:rsidRPr="003101BA">
        <w:t>,</w:t>
      </w:r>
      <w:r w:rsidR="009C5FF6" w:rsidRPr="003101BA">
        <w:t xml:space="preserve"> </w:t>
      </w:r>
      <w:r w:rsidR="009C5FF6" w:rsidRPr="003101BA">
        <w:rPr>
          <w:i/>
        </w:rPr>
        <w:t>together</w:t>
      </w:r>
      <w:r w:rsidR="009C5FF6" w:rsidRPr="003101BA">
        <w:t xml:space="preserve">, could we do a better job of </w:t>
      </w:r>
      <w:r w:rsidRPr="003101BA">
        <w:t>measuring and improving P-12 student learning?</w:t>
      </w:r>
    </w:p>
    <w:p w:rsidR="00AE1FE6" w:rsidRDefault="008D567E">
      <w:r w:rsidRPr="003101BA">
        <w:t xml:space="preserve">These are particularly important questions to ask at a time when </w:t>
      </w:r>
      <w:r w:rsidR="008C6201" w:rsidRPr="003101BA">
        <w:t>s</w:t>
      </w:r>
      <w:r w:rsidR="00AF5083" w:rsidRPr="003101BA">
        <w:t>chool</w:t>
      </w:r>
      <w:r w:rsidR="00284BE8" w:rsidRPr="003101BA">
        <w:t xml:space="preserve"> districts</w:t>
      </w:r>
      <w:r w:rsidR="00AF5083" w:rsidRPr="003101BA">
        <w:t xml:space="preserve"> and EPPs </w:t>
      </w:r>
      <w:r w:rsidRPr="003101BA">
        <w:t xml:space="preserve">across the nation </w:t>
      </w:r>
      <w:r w:rsidR="00AF5083" w:rsidRPr="003101BA">
        <w:t>are each</w:t>
      </w:r>
      <w:r w:rsidR="0001774D" w:rsidRPr="003101BA">
        <w:t xml:space="preserve"> experiencing</w:t>
      </w:r>
      <w:r w:rsidR="009173D1" w:rsidRPr="003101BA">
        <w:t>, from a variety of sources,</w:t>
      </w:r>
      <w:r w:rsidR="0001774D" w:rsidRPr="003101BA">
        <w:t xml:space="preserve"> </w:t>
      </w:r>
      <w:r w:rsidRPr="003101BA">
        <w:t xml:space="preserve">substantial </w:t>
      </w:r>
      <w:r w:rsidR="0001774D" w:rsidRPr="003101BA">
        <w:t xml:space="preserve">increases in accountability and </w:t>
      </w:r>
      <w:r w:rsidR="000731EF" w:rsidRPr="003101BA">
        <w:t>expectations</w:t>
      </w:r>
      <w:r w:rsidR="00871F03" w:rsidRPr="003101BA">
        <w:t>.</w:t>
      </w:r>
      <w:r w:rsidR="00B668F8" w:rsidRPr="00142C0B">
        <w:t xml:space="preserve"> </w:t>
      </w:r>
      <w:r w:rsidR="00284BE8" w:rsidRPr="00142C0B">
        <w:t>For instance, s</w:t>
      </w:r>
      <w:r w:rsidR="003776BD" w:rsidRPr="00142C0B">
        <w:t xml:space="preserve">chool districts </w:t>
      </w:r>
      <w:r w:rsidR="0001774D" w:rsidRPr="00142C0B">
        <w:t>are dealing with</w:t>
      </w:r>
      <w:r w:rsidR="003776BD" w:rsidRPr="00142C0B">
        <w:t xml:space="preserve"> </w:t>
      </w:r>
      <w:r w:rsidR="00ED339F">
        <w:t>e</w:t>
      </w:r>
      <w:r w:rsidR="0001774D" w:rsidRPr="00142C0B">
        <w:t>valuation</w:t>
      </w:r>
      <w:r w:rsidR="00ED339F">
        <w:t xml:space="preserve">, </w:t>
      </w:r>
      <w:r w:rsidR="003776BD" w:rsidRPr="00142C0B">
        <w:t>testi</w:t>
      </w:r>
      <w:r w:rsidR="0001774D" w:rsidRPr="00142C0B">
        <w:t xml:space="preserve">ng requirements, and </w:t>
      </w:r>
      <w:r w:rsidR="003776BD" w:rsidRPr="00142C0B">
        <w:t>curriculum</w:t>
      </w:r>
      <w:r w:rsidR="00C67456" w:rsidRPr="00142C0B">
        <w:t xml:space="preserve">. </w:t>
      </w:r>
      <w:r w:rsidR="003776BD" w:rsidRPr="003101BA">
        <w:t>E</w:t>
      </w:r>
      <w:r w:rsidR="0001774D" w:rsidRPr="003101BA">
        <w:t>PPs</w:t>
      </w:r>
      <w:r w:rsidR="00284BE8" w:rsidRPr="003101BA">
        <w:t xml:space="preserve"> </w:t>
      </w:r>
      <w:r w:rsidR="002B4625" w:rsidRPr="003101BA">
        <w:t xml:space="preserve">are </w:t>
      </w:r>
      <w:r w:rsidR="003776BD" w:rsidRPr="003101BA">
        <w:t xml:space="preserve">faced </w:t>
      </w:r>
      <w:r w:rsidR="002B4625" w:rsidRPr="003101BA">
        <w:t xml:space="preserve">with </w:t>
      </w:r>
      <w:r w:rsidR="009173D1" w:rsidRPr="003101BA">
        <w:t>cha</w:t>
      </w:r>
      <w:r w:rsidR="00ED339F">
        <w:t>llenges, a</w:t>
      </w:r>
      <w:r w:rsidR="00E81D4F" w:rsidRPr="003101BA">
        <w:t>s well, including</w:t>
      </w:r>
      <w:r w:rsidR="003776BD" w:rsidRPr="003101BA">
        <w:t xml:space="preserve"> certification requirements,</w:t>
      </w:r>
      <w:r w:rsidR="00ED339F">
        <w:t xml:space="preserve"> outcomes-based </w:t>
      </w:r>
      <w:r w:rsidR="003776BD" w:rsidRPr="003101BA">
        <w:t xml:space="preserve">accreditation </w:t>
      </w:r>
      <w:r w:rsidR="00ED339F">
        <w:t xml:space="preserve">standards, </w:t>
      </w:r>
      <w:r w:rsidR="00604951" w:rsidRPr="003101BA">
        <w:t xml:space="preserve">and the </w:t>
      </w:r>
      <w:r w:rsidR="003776BD" w:rsidRPr="003101BA">
        <w:t>responsibility for</w:t>
      </w:r>
      <w:r w:rsidR="002B4625" w:rsidRPr="003101BA">
        <w:t xml:space="preserve"> </w:t>
      </w:r>
      <w:r w:rsidR="00565C85" w:rsidRPr="003101BA">
        <w:t xml:space="preserve">recruiting, </w:t>
      </w:r>
      <w:r w:rsidR="002B4625" w:rsidRPr="003101BA">
        <w:t>enrolling</w:t>
      </w:r>
      <w:r w:rsidR="00565C85" w:rsidRPr="003101BA">
        <w:t>, and retaining</w:t>
      </w:r>
      <w:r w:rsidR="002B4625" w:rsidRPr="003101BA">
        <w:t xml:space="preserve"> highly q</w:t>
      </w:r>
      <w:r w:rsidR="00565C85" w:rsidRPr="003101BA">
        <w:t xml:space="preserve">ualified individuals into </w:t>
      </w:r>
      <w:r w:rsidR="002B4625" w:rsidRPr="003101BA">
        <w:t>educator preparation programs</w:t>
      </w:r>
      <w:r w:rsidR="002B4625" w:rsidRPr="00142C0B">
        <w:t xml:space="preserve">. </w:t>
      </w:r>
      <w:r w:rsidR="00AF5083" w:rsidRPr="00142C0B">
        <w:t xml:space="preserve">These are just a few examples – there are many more. </w:t>
      </w:r>
    </w:p>
    <w:p w:rsidR="005213AB" w:rsidRDefault="002F09CE">
      <w:pPr>
        <w:rPr>
          <w:color w:val="000000" w:themeColor="text1"/>
        </w:rPr>
      </w:pPr>
      <w:r>
        <w:t xml:space="preserve">In order to </w:t>
      </w:r>
      <w:r w:rsidRPr="00A7683E">
        <w:t>assist</w:t>
      </w:r>
      <w:r>
        <w:t xml:space="preserve"> the </w:t>
      </w:r>
      <w:r w:rsidR="0099473B" w:rsidRPr="00142C0B">
        <w:t>EPPs and school districts</w:t>
      </w:r>
      <w:r>
        <w:t xml:space="preserve"> </w:t>
      </w:r>
      <w:r w:rsidRPr="00A7683E">
        <w:t>with th</w:t>
      </w:r>
      <w:r w:rsidR="00ED339F">
        <w:t>e implementation of such challenges</w:t>
      </w:r>
      <w:r w:rsidR="000359C2" w:rsidRPr="00142C0B">
        <w:t>,</w:t>
      </w:r>
      <w:r w:rsidR="0099473B" w:rsidRPr="00142C0B">
        <w:t xml:space="preserve"> </w:t>
      </w:r>
      <w:r w:rsidR="00142C0B" w:rsidRPr="00142C0B">
        <w:t xml:space="preserve">three </w:t>
      </w:r>
      <w:r w:rsidR="00A7683E">
        <w:t xml:space="preserve">education </w:t>
      </w:r>
      <w:r w:rsidR="00D55A63" w:rsidRPr="00142C0B">
        <w:t>state agencies</w:t>
      </w:r>
      <w:r w:rsidR="00142C0B" w:rsidRPr="00142C0B">
        <w:t xml:space="preserve">, </w:t>
      </w:r>
      <w:r w:rsidR="008D567E">
        <w:t xml:space="preserve">the </w:t>
      </w:r>
      <w:r w:rsidR="00142C0B" w:rsidRPr="00142C0B">
        <w:t>Geo</w:t>
      </w:r>
      <w:r w:rsidR="008D567E">
        <w:t>rgia Department of Education (Ga</w:t>
      </w:r>
      <w:r w:rsidR="00142C0B" w:rsidRPr="00142C0B">
        <w:t xml:space="preserve">DOE), </w:t>
      </w:r>
      <w:r w:rsidR="008D567E">
        <w:t xml:space="preserve">the </w:t>
      </w:r>
      <w:r w:rsidR="00142C0B" w:rsidRPr="00142C0B">
        <w:t xml:space="preserve">Georgia Professional Standards Commission </w:t>
      </w:r>
      <w:r w:rsidR="008D567E">
        <w:t>(Ga</w:t>
      </w:r>
      <w:r w:rsidR="00142C0B" w:rsidRPr="00142C0B">
        <w:t>PSC)</w:t>
      </w:r>
      <w:r w:rsidR="005213AB">
        <w:t>, and</w:t>
      </w:r>
      <w:r w:rsidR="00142C0B" w:rsidRPr="00142C0B">
        <w:t xml:space="preserve"> </w:t>
      </w:r>
      <w:r w:rsidR="008D567E">
        <w:t xml:space="preserve">the </w:t>
      </w:r>
      <w:r w:rsidR="00142C0B" w:rsidRPr="00142C0B">
        <w:t>University System of Georgia (USG)</w:t>
      </w:r>
      <w:r w:rsidR="00D55A63" w:rsidRPr="00142C0B">
        <w:t xml:space="preserve"> </w:t>
      </w:r>
      <w:r w:rsidR="00DC30D5">
        <w:t xml:space="preserve">joined forces and </w:t>
      </w:r>
      <w:r w:rsidR="006E0963" w:rsidRPr="00142C0B">
        <w:t>are committed to supporting strong collaborative par</w:t>
      </w:r>
      <w:r w:rsidR="00776A2B">
        <w:t xml:space="preserve">tnerships between and among Georgia </w:t>
      </w:r>
      <w:r w:rsidR="006E0963" w:rsidRPr="00142C0B">
        <w:t>EPPs and school districts</w:t>
      </w:r>
      <w:r w:rsidR="005213AB">
        <w:t xml:space="preserve">. In an effort </w:t>
      </w:r>
      <w:r w:rsidR="006E0963" w:rsidRPr="00142C0B">
        <w:t xml:space="preserve">to </w:t>
      </w:r>
      <w:r w:rsidR="006A1246" w:rsidRPr="00142C0B">
        <w:t xml:space="preserve">minimize unnecessary overlap, </w:t>
      </w:r>
      <w:r w:rsidR="006E0963" w:rsidRPr="00142C0B">
        <w:t>maximize the benefits</w:t>
      </w:r>
      <w:r w:rsidR="005213AB">
        <w:t xml:space="preserve"> to both</w:t>
      </w:r>
      <w:r w:rsidR="008D567E">
        <w:t xml:space="preserve"> entities</w:t>
      </w:r>
      <w:r w:rsidR="005213AB">
        <w:t>, and ultimately increase student learning, o</w:t>
      </w:r>
      <w:r w:rsidR="00D149AE">
        <w:t>ne effective</w:t>
      </w:r>
      <w:r w:rsidR="00D55A63" w:rsidRPr="00142C0B">
        <w:t xml:space="preserve"> example of that commitment is the estab</w:t>
      </w:r>
      <w:r w:rsidR="00142C0B" w:rsidRPr="00142C0B">
        <w:t>lishment of P-20 Collaborat</w:t>
      </w:r>
      <w:r w:rsidR="00F13D25">
        <w:t xml:space="preserve">ives: </w:t>
      </w:r>
      <w:r w:rsidR="00F13D25" w:rsidRPr="00F13D25">
        <w:rPr>
          <w:color w:val="000000" w:themeColor="text1"/>
        </w:rPr>
        <w:t>nine regional groups, each of which includes the EPPs</w:t>
      </w:r>
      <w:r w:rsidR="00B72DC1">
        <w:rPr>
          <w:color w:val="000000" w:themeColor="text1"/>
        </w:rPr>
        <w:t xml:space="preserve"> </w:t>
      </w:r>
      <w:r w:rsidR="00B72DC1">
        <w:t xml:space="preserve">(public and private institutions, as well as non-traditional providers), </w:t>
      </w:r>
      <w:r w:rsidR="00F13D25" w:rsidRPr="00F13D25">
        <w:rPr>
          <w:color w:val="000000" w:themeColor="text1"/>
        </w:rPr>
        <w:t>P-12 school districts, and Regional Education Service Agency(s) (RESAs) contained within a designated geographical area.</w:t>
      </w:r>
      <w:r w:rsidR="00EE06FE">
        <w:rPr>
          <w:color w:val="000000" w:themeColor="text1"/>
        </w:rPr>
        <w:t xml:space="preserve"> </w:t>
      </w:r>
    </w:p>
    <w:p w:rsidR="00EA4B36" w:rsidRDefault="008D567E" w:rsidP="00DC30D5">
      <w:pPr>
        <w:rPr>
          <w:color w:val="000000" w:themeColor="text1"/>
        </w:rPr>
      </w:pPr>
      <w:r>
        <w:rPr>
          <w:color w:val="000000" w:themeColor="text1"/>
        </w:rPr>
        <w:t xml:space="preserve">Why </w:t>
      </w:r>
      <w:r w:rsidRPr="00EA4B36">
        <w:rPr>
          <w:b/>
          <w:i/>
          <w:color w:val="000000" w:themeColor="text1"/>
        </w:rPr>
        <w:t>P-20</w:t>
      </w:r>
      <w:r>
        <w:rPr>
          <w:color w:val="000000" w:themeColor="text1"/>
        </w:rPr>
        <w:t xml:space="preserve"> Collaboratives?</w:t>
      </w:r>
      <w:r w:rsidR="00EA4B36">
        <w:rPr>
          <w:color w:val="000000" w:themeColor="text1"/>
        </w:rPr>
        <w:t xml:space="preserve"> P-12 refers </w:t>
      </w:r>
      <w:r>
        <w:rPr>
          <w:color w:val="000000" w:themeColor="text1"/>
        </w:rPr>
        <w:t>to those who teach students from preschool through the 12</w:t>
      </w:r>
      <w:r w:rsidRPr="008D567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grade, and </w:t>
      </w:r>
      <w:r w:rsidR="00EA4B36">
        <w:rPr>
          <w:color w:val="000000" w:themeColor="text1"/>
        </w:rPr>
        <w:t xml:space="preserve">13-20 refers to </w:t>
      </w:r>
      <w:r w:rsidR="009173D1">
        <w:rPr>
          <w:color w:val="000000" w:themeColor="text1"/>
        </w:rPr>
        <w:t xml:space="preserve">those </w:t>
      </w:r>
      <w:r w:rsidR="00EA4B36">
        <w:rPr>
          <w:color w:val="000000" w:themeColor="text1"/>
        </w:rPr>
        <w:t xml:space="preserve">EPP faculty and staff </w:t>
      </w:r>
      <w:r w:rsidR="00DC30D5" w:rsidRPr="008B5047">
        <w:rPr>
          <w:color w:val="000000" w:themeColor="text1"/>
        </w:rPr>
        <w:t>who prepare educators</w:t>
      </w:r>
      <w:r w:rsidR="00DC30D5">
        <w:rPr>
          <w:color w:val="000000" w:themeColor="text1"/>
        </w:rPr>
        <w:t xml:space="preserve"> during post-secondary education</w:t>
      </w:r>
      <w:r w:rsidR="00EA4B36">
        <w:rPr>
          <w:color w:val="000000" w:themeColor="text1"/>
        </w:rPr>
        <w:t xml:space="preserve">. </w:t>
      </w:r>
      <w:r w:rsidR="009173D1" w:rsidRPr="003101BA">
        <w:rPr>
          <w:color w:val="000000" w:themeColor="text1"/>
        </w:rPr>
        <w:t xml:space="preserve">Through participation in </w:t>
      </w:r>
      <w:r w:rsidR="002D71EF" w:rsidRPr="003101BA">
        <w:rPr>
          <w:color w:val="000000" w:themeColor="text1"/>
        </w:rPr>
        <w:t xml:space="preserve">P-20 </w:t>
      </w:r>
      <w:r w:rsidR="00EA4B36" w:rsidRPr="003101BA">
        <w:rPr>
          <w:color w:val="000000" w:themeColor="text1"/>
        </w:rPr>
        <w:t>Collaboratives</w:t>
      </w:r>
      <w:r w:rsidR="009173D1" w:rsidRPr="003101BA">
        <w:rPr>
          <w:color w:val="000000" w:themeColor="text1"/>
        </w:rPr>
        <w:t xml:space="preserve">, those from multiple education silos are building </w:t>
      </w:r>
      <w:r w:rsidR="002D71EF" w:rsidRPr="003101BA">
        <w:rPr>
          <w:color w:val="000000" w:themeColor="text1"/>
        </w:rPr>
        <w:lastRenderedPageBreak/>
        <w:t>n</w:t>
      </w:r>
      <w:r w:rsidR="00B72DC1">
        <w:rPr>
          <w:color w:val="000000" w:themeColor="text1"/>
        </w:rPr>
        <w:t xml:space="preserve">etworks and </w:t>
      </w:r>
      <w:r w:rsidR="009173D1" w:rsidRPr="003101BA">
        <w:rPr>
          <w:color w:val="000000" w:themeColor="text1"/>
        </w:rPr>
        <w:t>are</w:t>
      </w:r>
      <w:r w:rsidR="00014315" w:rsidRPr="003101BA">
        <w:rPr>
          <w:color w:val="000000" w:themeColor="text1"/>
        </w:rPr>
        <w:t xml:space="preserve"> working together in silo-free</w:t>
      </w:r>
      <w:r w:rsidR="009173D1" w:rsidRPr="003101BA">
        <w:rPr>
          <w:color w:val="000000" w:themeColor="text1"/>
        </w:rPr>
        <w:t xml:space="preserve"> workspaces</w:t>
      </w:r>
      <w:r w:rsidR="00EA4B36" w:rsidRPr="003101BA">
        <w:rPr>
          <w:color w:val="000000" w:themeColor="text1"/>
        </w:rPr>
        <w:t>.</w:t>
      </w:r>
      <w:r w:rsidR="00EA4B36">
        <w:rPr>
          <w:color w:val="000000" w:themeColor="text1"/>
        </w:rPr>
        <w:t xml:space="preserve"> </w:t>
      </w:r>
      <w:r w:rsidR="00DC30D5" w:rsidRPr="008B5047">
        <w:rPr>
          <w:color w:val="000000" w:themeColor="text1"/>
        </w:rPr>
        <w:t>Each</w:t>
      </w:r>
      <w:r w:rsidR="00DC30D5">
        <w:rPr>
          <w:color w:val="000000" w:themeColor="text1"/>
        </w:rPr>
        <w:t xml:space="preserve"> silo </w:t>
      </w:r>
      <w:r w:rsidR="00DC30D5" w:rsidRPr="008B5047">
        <w:rPr>
          <w:color w:val="000000" w:themeColor="text1"/>
        </w:rPr>
        <w:t xml:space="preserve">has </w:t>
      </w:r>
      <w:r w:rsidR="00DC30D5">
        <w:rPr>
          <w:color w:val="000000" w:themeColor="text1"/>
        </w:rPr>
        <w:t>assumed its respective</w:t>
      </w:r>
      <w:r w:rsidR="00DC30D5" w:rsidRPr="008B5047">
        <w:rPr>
          <w:color w:val="000000" w:themeColor="text1"/>
        </w:rPr>
        <w:t xml:space="preserve"> responsibilities</w:t>
      </w:r>
      <w:r w:rsidR="00DC30D5">
        <w:rPr>
          <w:color w:val="000000" w:themeColor="text1"/>
        </w:rPr>
        <w:t>,</w:t>
      </w:r>
      <w:r w:rsidR="00DC30D5" w:rsidRPr="008B5047">
        <w:rPr>
          <w:color w:val="000000" w:themeColor="text1"/>
        </w:rPr>
        <w:t xml:space="preserve"> as described</w:t>
      </w:r>
      <w:r w:rsidR="00B72DC1">
        <w:rPr>
          <w:color w:val="000000" w:themeColor="text1"/>
        </w:rPr>
        <w:t xml:space="preserve"> earlier</w:t>
      </w:r>
      <w:r w:rsidR="00DC30D5">
        <w:rPr>
          <w:color w:val="000000" w:themeColor="text1"/>
        </w:rPr>
        <w:t>, but that landscape is evolving as the overlap between the responsibil</w:t>
      </w:r>
      <w:r w:rsidR="002B798B">
        <w:rPr>
          <w:color w:val="000000" w:themeColor="text1"/>
        </w:rPr>
        <w:t>ities of those two groups widen</w:t>
      </w:r>
      <w:r w:rsidR="00E951B4">
        <w:rPr>
          <w:color w:val="000000" w:themeColor="text1"/>
        </w:rPr>
        <w:t>s</w:t>
      </w:r>
      <w:r w:rsidR="00DC30D5">
        <w:rPr>
          <w:color w:val="000000" w:themeColor="text1"/>
        </w:rPr>
        <w:t xml:space="preserve">. </w:t>
      </w:r>
    </w:p>
    <w:p w:rsidR="00DC30D5" w:rsidRDefault="00D12546" w:rsidP="00DC30D5">
      <w:r w:rsidRPr="003101BA">
        <w:t>On</w:t>
      </w:r>
      <w:r w:rsidR="003101BA">
        <w:t xml:space="preserve">e topic P-20 Collaboratives </w:t>
      </w:r>
      <w:r w:rsidR="00EF2E95">
        <w:t xml:space="preserve">have examined </w:t>
      </w:r>
      <w:r w:rsidR="007B1F5D" w:rsidRPr="003101BA">
        <w:t>together</w:t>
      </w:r>
      <w:r w:rsidRPr="003101BA">
        <w:t xml:space="preserve"> is </w:t>
      </w:r>
      <w:r w:rsidR="00DC30D5" w:rsidRPr="003101BA">
        <w:t>Georgia’s</w:t>
      </w:r>
      <w:r w:rsidRPr="003101BA">
        <w:t xml:space="preserve"> professional learning reform</w:t>
      </w:r>
      <w:r w:rsidR="00776A2B" w:rsidRPr="003101BA">
        <w:t>.</w:t>
      </w:r>
      <w:r w:rsidR="00776A2B">
        <w:t xml:space="preserve"> </w:t>
      </w:r>
      <w:r w:rsidR="00DC30D5" w:rsidRPr="00142C0B">
        <w:t xml:space="preserve">Georgia has moved from counting Professional Learning Units (essentially, “seat time”) to examining job-embedded </w:t>
      </w:r>
      <w:r w:rsidR="00E951B4" w:rsidRPr="00A7683E">
        <w:t>professional learning</w:t>
      </w:r>
      <w:r w:rsidR="00DC30D5">
        <w:t xml:space="preserve"> - </w:t>
      </w:r>
      <w:r w:rsidR="00DC30D5" w:rsidRPr="00142C0B">
        <w:t xml:space="preserve">the </w:t>
      </w:r>
      <w:r w:rsidR="00E951B4" w:rsidRPr="00A7683E">
        <w:t>impact</w:t>
      </w:r>
      <w:r w:rsidR="00E951B4">
        <w:t xml:space="preserve"> </w:t>
      </w:r>
      <w:r w:rsidR="00DC30D5" w:rsidRPr="00142C0B">
        <w:t xml:space="preserve">of </w:t>
      </w:r>
      <w:r w:rsidR="00DC30D5">
        <w:t xml:space="preserve">an educator’s </w:t>
      </w:r>
      <w:r w:rsidR="00DC30D5" w:rsidRPr="00142C0B">
        <w:t xml:space="preserve">professional learning </w:t>
      </w:r>
      <w:r w:rsidR="00DC30D5">
        <w:t xml:space="preserve">experiences </w:t>
      </w:r>
      <w:r w:rsidR="00DC30D5" w:rsidRPr="00142C0B">
        <w:t>on student performance. When a</w:t>
      </w:r>
      <w:r w:rsidR="00DC30D5">
        <w:t xml:space="preserve">n educator </w:t>
      </w:r>
      <w:r w:rsidR="00DC30D5" w:rsidRPr="00142C0B">
        <w:t>complete</w:t>
      </w:r>
      <w:r w:rsidR="002B798B">
        <w:t>s a Ga</w:t>
      </w:r>
      <w:r w:rsidR="00DC30D5">
        <w:t>PSC</w:t>
      </w:r>
      <w:r w:rsidR="00DC30D5" w:rsidRPr="00142C0B">
        <w:t>-approved</w:t>
      </w:r>
      <w:r w:rsidR="00DC30D5">
        <w:t xml:space="preserve"> </w:t>
      </w:r>
      <w:r w:rsidR="00776A2B">
        <w:t xml:space="preserve">preparation program </w:t>
      </w:r>
      <w:r w:rsidR="00DC30D5" w:rsidRPr="00142C0B">
        <w:t>and</w:t>
      </w:r>
      <w:r w:rsidR="002B798B">
        <w:t xml:space="preserve"> is hired by a </w:t>
      </w:r>
      <w:r w:rsidR="00DC30D5" w:rsidRPr="00142C0B">
        <w:t xml:space="preserve">school district, he or she moves into the induction phase of the </w:t>
      </w:r>
      <w:r w:rsidR="00DC30D5">
        <w:t xml:space="preserve">professional educator </w:t>
      </w:r>
      <w:r w:rsidR="00DC30D5" w:rsidRPr="00142C0B">
        <w:t>career</w:t>
      </w:r>
      <w:r w:rsidR="002D0437">
        <w:t xml:space="preserve"> track</w:t>
      </w:r>
      <w:r w:rsidR="00DC30D5" w:rsidRPr="00142C0B">
        <w:t xml:space="preserve">. This phase is characterized by customized, on-the-job training for the new teacher, </w:t>
      </w:r>
      <w:r w:rsidR="002B798B">
        <w:t xml:space="preserve">and </w:t>
      </w:r>
      <w:r w:rsidR="00DC30D5">
        <w:t xml:space="preserve">the customization </w:t>
      </w:r>
      <w:r w:rsidR="002B798B" w:rsidRPr="00A7683E">
        <w:t>should</w:t>
      </w:r>
      <w:r w:rsidR="002B798B">
        <w:t xml:space="preserve"> </w:t>
      </w:r>
      <w:r w:rsidR="00DC30D5">
        <w:t xml:space="preserve">be </w:t>
      </w:r>
      <w:r w:rsidR="00DC30D5" w:rsidRPr="00142C0B">
        <w:t xml:space="preserve">based on strengths and weaknesses evidenced in the teacher’s performance during preparation. </w:t>
      </w:r>
      <w:r w:rsidR="00DC30D5">
        <w:t>Practitioners and preparers must work together to achieve this outcome.</w:t>
      </w:r>
      <w:r w:rsidR="00EA4B36">
        <w:t xml:space="preserve"> </w:t>
      </w:r>
      <w:r w:rsidR="00776A2B">
        <w:t>P-20 Regional C</w:t>
      </w:r>
      <w:r w:rsidR="00EA4B36">
        <w:t xml:space="preserve">ollaboratives are an excellent platform for </w:t>
      </w:r>
      <w:r w:rsidR="00A3407F">
        <w:t xml:space="preserve">discussing what </w:t>
      </w:r>
      <w:r w:rsidR="00EA4B36">
        <w:t xml:space="preserve">professional learning might look </w:t>
      </w:r>
      <w:r w:rsidR="00A3407F">
        <w:t xml:space="preserve">like </w:t>
      </w:r>
      <w:r w:rsidR="00EA4B36">
        <w:t xml:space="preserve">for induction-phase teachers.  </w:t>
      </w:r>
      <w:r w:rsidR="00DC30D5">
        <w:t xml:space="preserve"> </w:t>
      </w:r>
    </w:p>
    <w:p w:rsidR="00EF58CA" w:rsidRDefault="00DC30D5">
      <w:r>
        <w:t xml:space="preserve">Even after a successful </w:t>
      </w:r>
      <w:r w:rsidRPr="00142C0B">
        <w:t xml:space="preserve">induction phase, </w:t>
      </w:r>
      <w:r>
        <w:t xml:space="preserve">when </w:t>
      </w:r>
      <w:r w:rsidRPr="00142C0B">
        <w:t>educators</w:t>
      </w:r>
      <w:r>
        <w:t xml:space="preserve"> prog</w:t>
      </w:r>
      <w:r w:rsidR="00B72DC1">
        <w:t>ress into the professional continuum</w:t>
      </w:r>
      <w:r>
        <w:t xml:space="preserve">, personalized professional learning is required. In conjunction with his or her school district, the professional educator is </w:t>
      </w:r>
      <w:r w:rsidRPr="00142C0B">
        <w:t>expected to</w:t>
      </w:r>
      <w:r w:rsidR="00776A2B">
        <w:t xml:space="preserve"> identify</w:t>
      </w:r>
      <w:r w:rsidRPr="00142C0B">
        <w:t xml:space="preserve"> areas</w:t>
      </w:r>
      <w:r w:rsidR="002D71EF">
        <w:t xml:space="preserve"> in which he or she can improve</w:t>
      </w:r>
      <w:r w:rsidRPr="00142C0B">
        <w:t xml:space="preserve"> </w:t>
      </w:r>
      <w:r>
        <w:t xml:space="preserve">and </w:t>
      </w:r>
      <w:r w:rsidR="002D71EF">
        <w:t xml:space="preserve">subsequently determine </w:t>
      </w:r>
      <w:r>
        <w:t xml:space="preserve">professional learning experiences </w:t>
      </w:r>
      <w:r w:rsidR="002D71EF">
        <w:t xml:space="preserve">that will lead to </w:t>
      </w:r>
      <w:r w:rsidR="002B798B">
        <w:t>improvement</w:t>
      </w:r>
      <w:r w:rsidR="00776A2B">
        <w:t>s</w:t>
      </w:r>
      <w:r w:rsidR="002B798B">
        <w:t>. T</w:t>
      </w:r>
      <w:r w:rsidR="00000FD6">
        <w:t xml:space="preserve">he effect of </w:t>
      </w:r>
      <w:r w:rsidR="00776A2B">
        <w:t xml:space="preserve">that planned </w:t>
      </w:r>
      <w:r w:rsidR="00000FD6">
        <w:t xml:space="preserve">professional learning </w:t>
      </w:r>
      <w:r>
        <w:t xml:space="preserve">is to be </w:t>
      </w:r>
      <w:r w:rsidRPr="00142C0B">
        <w:t xml:space="preserve">measured by changes in student learning. </w:t>
      </w:r>
      <w:r w:rsidR="00776A2B">
        <w:t>P-20 Regional C</w:t>
      </w:r>
      <w:r w:rsidR="00EF58CA">
        <w:t>ollaboratives provide a</w:t>
      </w:r>
      <w:r w:rsidR="00B72DC1">
        <w:t xml:space="preserve"> </w:t>
      </w:r>
      <w:r w:rsidR="003101BA">
        <w:t xml:space="preserve">wonderful </w:t>
      </w:r>
      <w:r w:rsidR="00EF58CA">
        <w:t>opportunity for P-12 practitioners to engage with EPP researchers who specialize in measuring student learning.</w:t>
      </w:r>
    </w:p>
    <w:p w:rsidR="00A3407F" w:rsidRDefault="00CB5996">
      <w:pPr>
        <w:rPr>
          <w:color w:val="000000" w:themeColor="text1"/>
        </w:rPr>
      </w:pPr>
      <w:r>
        <w:t>Improvement in P-12 student learning is a goal shared by all education stakeholder</w:t>
      </w:r>
      <w:r w:rsidR="001C51F3">
        <w:t>s</w:t>
      </w:r>
      <w:r>
        <w:t xml:space="preserve">, regardless of professional silo membership. </w:t>
      </w:r>
      <w:r w:rsidR="001C51F3">
        <w:t>Mutually beneficial outcomes</w:t>
      </w:r>
      <w:r w:rsidR="001C51F3" w:rsidRPr="00142C0B">
        <w:t xml:space="preserve"> </w:t>
      </w:r>
      <w:r w:rsidR="001C51F3">
        <w:t>are possible</w:t>
      </w:r>
      <w:r w:rsidR="001C51F3" w:rsidRPr="00142C0B">
        <w:t xml:space="preserve"> when P-12 practitioners collaborate with EPP</w:t>
      </w:r>
      <w:r w:rsidR="000E0B75">
        <w:t>s, and t</w:t>
      </w:r>
      <w:r w:rsidR="008321DA">
        <w:rPr>
          <w:color w:val="000000" w:themeColor="text1"/>
        </w:rPr>
        <w:t xml:space="preserve">hat collaboration is made possible during </w:t>
      </w:r>
      <w:r w:rsidR="00776A2B">
        <w:rPr>
          <w:color w:val="000000" w:themeColor="text1"/>
        </w:rPr>
        <w:t>discussions held</w:t>
      </w:r>
      <w:r w:rsidR="008321DA">
        <w:rPr>
          <w:color w:val="000000" w:themeColor="text1"/>
        </w:rPr>
        <w:t xml:space="preserve"> </w:t>
      </w:r>
      <w:r w:rsidR="00776A2B">
        <w:rPr>
          <w:color w:val="000000" w:themeColor="text1"/>
        </w:rPr>
        <w:t xml:space="preserve">through </w:t>
      </w:r>
      <w:r w:rsidR="008321DA">
        <w:rPr>
          <w:color w:val="000000" w:themeColor="text1"/>
        </w:rPr>
        <w:t xml:space="preserve">P-20 </w:t>
      </w:r>
      <w:r w:rsidR="00776A2B">
        <w:rPr>
          <w:color w:val="000000" w:themeColor="text1"/>
        </w:rPr>
        <w:t xml:space="preserve">Regional </w:t>
      </w:r>
      <w:r w:rsidR="008321DA">
        <w:rPr>
          <w:color w:val="000000" w:themeColor="text1"/>
        </w:rPr>
        <w:t>Collaborative</w:t>
      </w:r>
      <w:r w:rsidR="000E0B75">
        <w:rPr>
          <w:color w:val="000000" w:themeColor="text1"/>
        </w:rPr>
        <w:t>s.</w:t>
      </w:r>
    </w:p>
    <w:p w:rsidR="001C51F3" w:rsidRDefault="00EE06FE">
      <w:pPr>
        <w:rPr>
          <w:color w:val="000000" w:themeColor="text1"/>
        </w:rPr>
      </w:pPr>
      <w:r w:rsidRPr="00A2563E">
        <w:rPr>
          <w:color w:val="000000" w:themeColor="text1"/>
        </w:rPr>
        <w:t xml:space="preserve">All nine </w:t>
      </w:r>
      <w:r w:rsidR="00CB5996">
        <w:rPr>
          <w:color w:val="000000" w:themeColor="text1"/>
        </w:rPr>
        <w:t xml:space="preserve">Georgia </w:t>
      </w:r>
      <w:r w:rsidRPr="00A2563E">
        <w:rPr>
          <w:color w:val="000000" w:themeColor="text1"/>
        </w:rPr>
        <w:t>P-20 Regional Coll</w:t>
      </w:r>
      <w:r w:rsidR="002D71EF">
        <w:rPr>
          <w:color w:val="000000" w:themeColor="text1"/>
        </w:rPr>
        <w:t>aboratives convene twice a year</w:t>
      </w:r>
      <w:r w:rsidRPr="00A2563E">
        <w:rPr>
          <w:color w:val="000000" w:themeColor="text1"/>
        </w:rPr>
        <w:t xml:space="preserve"> and are open</w:t>
      </w:r>
      <w:r w:rsidR="00B26C4B">
        <w:rPr>
          <w:color w:val="000000" w:themeColor="text1"/>
        </w:rPr>
        <w:t xml:space="preserve"> to all stakeholders within the </w:t>
      </w:r>
      <w:r w:rsidRPr="00A2563E">
        <w:rPr>
          <w:color w:val="000000" w:themeColor="text1"/>
        </w:rPr>
        <w:t xml:space="preserve">region. </w:t>
      </w:r>
      <w:r w:rsidR="00A2563E" w:rsidRPr="003D786B">
        <w:rPr>
          <w:color w:val="000000" w:themeColor="text1"/>
        </w:rPr>
        <w:t>The</w:t>
      </w:r>
      <w:r w:rsidRPr="003D786B">
        <w:rPr>
          <w:color w:val="000000" w:themeColor="text1"/>
        </w:rPr>
        <w:t xml:space="preserve"> </w:t>
      </w:r>
      <w:r w:rsidR="008321DA">
        <w:rPr>
          <w:color w:val="000000" w:themeColor="text1"/>
        </w:rPr>
        <w:t>gatherings</w:t>
      </w:r>
      <w:r w:rsidRPr="003D786B">
        <w:rPr>
          <w:color w:val="000000" w:themeColor="text1"/>
        </w:rPr>
        <w:t xml:space="preserve"> are intended to </w:t>
      </w:r>
      <w:r w:rsidR="006C4B48" w:rsidRPr="003D786B">
        <w:rPr>
          <w:color w:val="000000" w:themeColor="text1"/>
        </w:rPr>
        <w:t>provide a silo-free workspace</w:t>
      </w:r>
      <w:r w:rsidR="003D786B" w:rsidRPr="003D786B">
        <w:rPr>
          <w:color w:val="000000" w:themeColor="text1"/>
        </w:rPr>
        <w:t>, where</w:t>
      </w:r>
      <w:r w:rsidR="006C4B48" w:rsidRPr="003D786B">
        <w:rPr>
          <w:color w:val="000000" w:themeColor="text1"/>
        </w:rPr>
        <w:t xml:space="preserve"> </w:t>
      </w:r>
      <w:r w:rsidRPr="003D786B">
        <w:rPr>
          <w:color w:val="000000" w:themeColor="text1"/>
        </w:rPr>
        <w:t>open dialogue</w:t>
      </w:r>
      <w:r w:rsidR="003D786B" w:rsidRPr="003D786B">
        <w:rPr>
          <w:color w:val="000000" w:themeColor="text1"/>
        </w:rPr>
        <w:t xml:space="preserve"> among a variety of education stakeholders occurs. The purpose of these collaboratives is to learn from and work with one another</w:t>
      </w:r>
      <w:r w:rsidR="000E0B75">
        <w:rPr>
          <w:color w:val="000000" w:themeColor="text1"/>
        </w:rPr>
        <w:t xml:space="preserve"> to address all of the initiatives faced by all stakeholders</w:t>
      </w:r>
      <w:r w:rsidR="005213AB">
        <w:rPr>
          <w:color w:val="000000" w:themeColor="text1"/>
        </w:rPr>
        <w:t>. Participants agree to</w:t>
      </w:r>
      <w:r w:rsidR="003D786B" w:rsidRPr="003D786B">
        <w:rPr>
          <w:color w:val="000000" w:themeColor="text1"/>
        </w:rPr>
        <w:t xml:space="preserve"> join forces around a common mission to better prepare teache</w:t>
      </w:r>
      <w:r w:rsidR="002B798B">
        <w:rPr>
          <w:color w:val="000000" w:themeColor="text1"/>
        </w:rPr>
        <w:t>r candidates, better support in-</w:t>
      </w:r>
      <w:r w:rsidR="003D786B" w:rsidRPr="003D786B">
        <w:rPr>
          <w:color w:val="000000" w:themeColor="text1"/>
        </w:rPr>
        <w:t>service teachers</w:t>
      </w:r>
      <w:r w:rsidR="005213AB">
        <w:rPr>
          <w:color w:val="000000" w:themeColor="text1"/>
        </w:rPr>
        <w:t>, and better serve</w:t>
      </w:r>
      <w:r w:rsidR="00532782">
        <w:rPr>
          <w:color w:val="000000" w:themeColor="text1"/>
        </w:rPr>
        <w:t xml:space="preserve"> Georgia’s P-12 students.</w:t>
      </w:r>
      <w:r w:rsidR="007455A4">
        <w:rPr>
          <w:color w:val="000000" w:themeColor="text1"/>
        </w:rPr>
        <w:t xml:space="preserve"> </w:t>
      </w:r>
    </w:p>
    <w:p w:rsidR="003D786B" w:rsidRDefault="00B97AD8">
      <w:pPr>
        <w:rPr>
          <w:color w:val="000000" w:themeColor="text1"/>
        </w:rPr>
      </w:pPr>
      <w:r>
        <w:rPr>
          <w:color w:val="000000" w:themeColor="text1"/>
        </w:rPr>
        <w:t>P-12 educators</w:t>
      </w:r>
      <w:r w:rsidR="007455A4">
        <w:rPr>
          <w:color w:val="000000" w:themeColor="text1"/>
        </w:rPr>
        <w:t xml:space="preserve"> are </w:t>
      </w:r>
      <w:r>
        <w:rPr>
          <w:color w:val="000000" w:themeColor="text1"/>
        </w:rPr>
        <w:t xml:space="preserve">encouraged to participate </w:t>
      </w:r>
      <w:r w:rsidR="006319F4">
        <w:rPr>
          <w:color w:val="000000" w:themeColor="text1"/>
        </w:rPr>
        <w:t xml:space="preserve">in </w:t>
      </w:r>
      <w:r w:rsidR="00A7683E">
        <w:rPr>
          <w:color w:val="000000" w:themeColor="text1"/>
        </w:rPr>
        <w:t xml:space="preserve">their respective </w:t>
      </w:r>
      <w:r w:rsidR="00FF14B2">
        <w:rPr>
          <w:color w:val="000000" w:themeColor="text1"/>
        </w:rPr>
        <w:t xml:space="preserve">P-20 </w:t>
      </w:r>
      <w:r w:rsidR="00776A2B">
        <w:rPr>
          <w:color w:val="000000" w:themeColor="text1"/>
        </w:rPr>
        <w:t>Regional C</w:t>
      </w:r>
      <w:r>
        <w:rPr>
          <w:color w:val="000000" w:themeColor="text1"/>
        </w:rPr>
        <w:t>ollaborative</w:t>
      </w:r>
      <w:r w:rsidR="007455A4">
        <w:rPr>
          <w:color w:val="000000" w:themeColor="text1"/>
        </w:rPr>
        <w:t>.</w:t>
      </w:r>
      <w:r w:rsidR="001C51F3">
        <w:rPr>
          <w:color w:val="000000" w:themeColor="text1"/>
        </w:rPr>
        <w:t xml:space="preserve"> Please consider doing so.</w:t>
      </w:r>
      <w:r w:rsidR="007455A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To find more information about your regional collaborative, </w:t>
      </w:r>
      <w:r w:rsidR="007455A4">
        <w:rPr>
          <w:color w:val="000000" w:themeColor="text1"/>
        </w:rPr>
        <w:t>visit</w:t>
      </w:r>
      <w:r w:rsidR="00D65DD6">
        <w:rPr>
          <w:color w:val="000000" w:themeColor="text1"/>
        </w:rPr>
        <w:t xml:space="preserve"> </w:t>
      </w:r>
      <w:hyperlink r:id="rId5" w:history="1">
        <w:r w:rsidR="00D65DD6" w:rsidRPr="00722865">
          <w:rPr>
            <w:rStyle w:val="Hyperlink"/>
          </w:rPr>
          <w:t>www.gapsc.com/P20.aspx</w:t>
        </w:r>
      </w:hyperlink>
      <w:r w:rsidR="00D65DD6">
        <w:rPr>
          <w:color w:val="000000" w:themeColor="text1"/>
        </w:rPr>
        <w:t xml:space="preserve">. </w:t>
      </w:r>
    </w:p>
    <w:p w:rsidR="00697D04" w:rsidRDefault="00697D04">
      <w:pPr>
        <w:rPr>
          <w:i/>
          <w:color w:val="000000" w:themeColor="text1"/>
        </w:rPr>
      </w:pPr>
    </w:p>
    <w:p w:rsidR="00697D04" w:rsidRPr="00697D04" w:rsidRDefault="00697D04">
      <w:pPr>
        <w:rPr>
          <w:i/>
        </w:rPr>
      </w:pPr>
      <w:r>
        <w:rPr>
          <w:i/>
          <w:color w:val="000000" w:themeColor="text1"/>
        </w:rPr>
        <w:t xml:space="preserve">Note: A longer version of this article was originally submitted to the Professional Association of Georgia Educators, and portions of it were published in the October/November 2016 edition of PAGE One Magazine. </w:t>
      </w:r>
    </w:p>
    <w:sectPr w:rsidR="00697D04" w:rsidRPr="00697D04" w:rsidSect="0066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EBB"/>
    <w:multiLevelType w:val="hybridMultilevel"/>
    <w:tmpl w:val="5268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6415"/>
    <w:multiLevelType w:val="hybridMultilevel"/>
    <w:tmpl w:val="874C01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3"/>
    <w:rsid w:val="00000FD6"/>
    <w:rsid w:val="000055F6"/>
    <w:rsid w:val="00014315"/>
    <w:rsid w:val="0001774D"/>
    <w:rsid w:val="00022A32"/>
    <w:rsid w:val="0002302C"/>
    <w:rsid w:val="000359C2"/>
    <w:rsid w:val="00054EBA"/>
    <w:rsid w:val="000731EF"/>
    <w:rsid w:val="0009792F"/>
    <w:rsid w:val="000B3C27"/>
    <w:rsid w:val="000E0B75"/>
    <w:rsid w:val="000E6FBE"/>
    <w:rsid w:val="00105927"/>
    <w:rsid w:val="00112327"/>
    <w:rsid w:val="001228DB"/>
    <w:rsid w:val="00122D72"/>
    <w:rsid w:val="001317B0"/>
    <w:rsid w:val="00142C0B"/>
    <w:rsid w:val="00145AE9"/>
    <w:rsid w:val="00155FB1"/>
    <w:rsid w:val="001673F4"/>
    <w:rsid w:val="00197401"/>
    <w:rsid w:val="001C0A4B"/>
    <w:rsid w:val="001C23FA"/>
    <w:rsid w:val="001C3CC7"/>
    <w:rsid w:val="001C51F3"/>
    <w:rsid w:val="002078F7"/>
    <w:rsid w:val="00237648"/>
    <w:rsid w:val="002403CF"/>
    <w:rsid w:val="00270CB7"/>
    <w:rsid w:val="00284BE8"/>
    <w:rsid w:val="0028714F"/>
    <w:rsid w:val="00287E76"/>
    <w:rsid w:val="002B4625"/>
    <w:rsid w:val="002B798B"/>
    <w:rsid w:val="002D0437"/>
    <w:rsid w:val="002D71EF"/>
    <w:rsid w:val="002F09CE"/>
    <w:rsid w:val="002F5D6D"/>
    <w:rsid w:val="003101BA"/>
    <w:rsid w:val="0032795E"/>
    <w:rsid w:val="0033197F"/>
    <w:rsid w:val="00352D26"/>
    <w:rsid w:val="00352F2A"/>
    <w:rsid w:val="00371718"/>
    <w:rsid w:val="00377472"/>
    <w:rsid w:val="003776BD"/>
    <w:rsid w:val="00382D6E"/>
    <w:rsid w:val="00392DB4"/>
    <w:rsid w:val="003D786B"/>
    <w:rsid w:val="00414A00"/>
    <w:rsid w:val="00472B54"/>
    <w:rsid w:val="00492ABD"/>
    <w:rsid w:val="00496BCF"/>
    <w:rsid w:val="004C3B51"/>
    <w:rsid w:val="004E4EA4"/>
    <w:rsid w:val="00503A11"/>
    <w:rsid w:val="005161A0"/>
    <w:rsid w:val="005213AB"/>
    <w:rsid w:val="005267AE"/>
    <w:rsid w:val="00532782"/>
    <w:rsid w:val="00547AE1"/>
    <w:rsid w:val="00565C85"/>
    <w:rsid w:val="005677DC"/>
    <w:rsid w:val="005B414F"/>
    <w:rsid w:val="005C1B9A"/>
    <w:rsid w:val="005D6590"/>
    <w:rsid w:val="005F6036"/>
    <w:rsid w:val="00600CCA"/>
    <w:rsid w:val="00604951"/>
    <w:rsid w:val="006122C1"/>
    <w:rsid w:val="00612EC3"/>
    <w:rsid w:val="0061338B"/>
    <w:rsid w:val="006261C3"/>
    <w:rsid w:val="00630F90"/>
    <w:rsid w:val="006319F4"/>
    <w:rsid w:val="00633ADB"/>
    <w:rsid w:val="0064384A"/>
    <w:rsid w:val="00647589"/>
    <w:rsid w:val="00651378"/>
    <w:rsid w:val="00655494"/>
    <w:rsid w:val="00661BE2"/>
    <w:rsid w:val="006640A7"/>
    <w:rsid w:val="006807A9"/>
    <w:rsid w:val="00697D04"/>
    <w:rsid w:val="006A1246"/>
    <w:rsid w:val="006C4B48"/>
    <w:rsid w:val="006C4C82"/>
    <w:rsid w:val="006E0963"/>
    <w:rsid w:val="006F0DB8"/>
    <w:rsid w:val="007119C8"/>
    <w:rsid w:val="007227AC"/>
    <w:rsid w:val="007417BA"/>
    <w:rsid w:val="007455A4"/>
    <w:rsid w:val="007549AA"/>
    <w:rsid w:val="0077013F"/>
    <w:rsid w:val="007712BE"/>
    <w:rsid w:val="00776A2B"/>
    <w:rsid w:val="00780394"/>
    <w:rsid w:val="0078531A"/>
    <w:rsid w:val="007B1F5D"/>
    <w:rsid w:val="007B4E86"/>
    <w:rsid w:val="007B4E9B"/>
    <w:rsid w:val="007E6179"/>
    <w:rsid w:val="008055BE"/>
    <w:rsid w:val="00814084"/>
    <w:rsid w:val="00820DE1"/>
    <w:rsid w:val="008321DA"/>
    <w:rsid w:val="00850644"/>
    <w:rsid w:val="00870761"/>
    <w:rsid w:val="00871F03"/>
    <w:rsid w:val="008724D2"/>
    <w:rsid w:val="0087660E"/>
    <w:rsid w:val="008A5007"/>
    <w:rsid w:val="008B5047"/>
    <w:rsid w:val="008B5139"/>
    <w:rsid w:val="008C6201"/>
    <w:rsid w:val="008D567E"/>
    <w:rsid w:val="008E232C"/>
    <w:rsid w:val="009173D1"/>
    <w:rsid w:val="009716C3"/>
    <w:rsid w:val="0099473B"/>
    <w:rsid w:val="009A7AAC"/>
    <w:rsid w:val="009C5FF6"/>
    <w:rsid w:val="009E7A5E"/>
    <w:rsid w:val="009F07D3"/>
    <w:rsid w:val="00A00F74"/>
    <w:rsid w:val="00A12295"/>
    <w:rsid w:val="00A13326"/>
    <w:rsid w:val="00A2563E"/>
    <w:rsid w:val="00A3407F"/>
    <w:rsid w:val="00A40F71"/>
    <w:rsid w:val="00A41BDC"/>
    <w:rsid w:val="00A50D64"/>
    <w:rsid w:val="00A73B01"/>
    <w:rsid w:val="00A7683E"/>
    <w:rsid w:val="00AA6803"/>
    <w:rsid w:val="00AE1FE6"/>
    <w:rsid w:val="00AF5083"/>
    <w:rsid w:val="00B05090"/>
    <w:rsid w:val="00B05CBE"/>
    <w:rsid w:val="00B24A86"/>
    <w:rsid w:val="00B26C4B"/>
    <w:rsid w:val="00B668F8"/>
    <w:rsid w:val="00B72BB6"/>
    <w:rsid w:val="00B72DC1"/>
    <w:rsid w:val="00B74448"/>
    <w:rsid w:val="00B97AD8"/>
    <w:rsid w:val="00BC3E52"/>
    <w:rsid w:val="00BD4F86"/>
    <w:rsid w:val="00BE57F8"/>
    <w:rsid w:val="00C05DBF"/>
    <w:rsid w:val="00C170FC"/>
    <w:rsid w:val="00C35374"/>
    <w:rsid w:val="00C538B2"/>
    <w:rsid w:val="00C609C5"/>
    <w:rsid w:val="00C67456"/>
    <w:rsid w:val="00C72DBA"/>
    <w:rsid w:val="00CB5996"/>
    <w:rsid w:val="00CC16A4"/>
    <w:rsid w:val="00CE37F5"/>
    <w:rsid w:val="00D03862"/>
    <w:rsid w:val="00D12152"/>
    <w:rsid w:val="00D12546"/>
    <w:rsid w:val="00D149AE"/>
    <w:rsid w:val="00D4376E"/>
    <w:rsid w:val="00D55A63"/>
    <w:rsid w:val="00D56B9B"/>
    <w:rsid w:val="00D5743C"/>
    <w:rsid w:val="00D65DD6"/>
    <w:rsid w:val="00D660F3"/>
    <w:rsid w:val="00D82DC9"/>
    <w:rsid w:val="00D85C3A"/>
    <w:rsid w:val="00DC30D5"/>
    <w:rsid w:val="00DF424E"/>
    <w:rsid w:val="00E0103D"/>
    <w:rsid w:val="00E15B29"/>
    <w:rsid w:val="00E245A9"/>
    <w:rsid w:val="00E76DD9"/>
    <w:rsid w:val="00E81D4F"/>
    <w:rsid w:val="00E951B4"/>
    <w:rsid w:val="00EA4B36"/>
    <w:rsid w:val="00ED339F"/>
    <w:rsid w:val="00EE06FE"/>
    <w:rsid w:val="00EE37C8"/>
    <w:rsid w:val="00EF2E95"/>
    <w:rsid w:val="00EF58CA"/>
    <w:rsid w:val="00F13D25"/>
    <w:rsid w:val="00F173B1"/>
    <w:rsid w:val="00F30FB9"/>
    <w:rsid w:val="00F40066"/>
    <w:rsid w:val="00F44450"/>
    <w:rsid w:val="00F83D73"/>
    <w:rsid w:val="00FA1C28"/>
    <w:rsid w:val="00FB7DAA"/>
    <w:rsid w:val="00FB7E18"/>
    <w:rsid w:val="00FC7BB4"/>
    <w:rsid w:val="00FF144D"/>
    <w:rsid w:val="00FF14B2"/>
    <w:rsid w:val="00FF376E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41C23BC-A684-4246-9C83-B641B4E8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B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psc.com/P20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Gant</dc:creator>
  <cp:lastModifiedBy>piedmont</cp:lastModifiedBy>
  <cp:revision>2</cp:revision>
  <dcterms:created xsi:type="dcterms:W3CDTF">2019-10-14T14:20:00Z</dcterms:created>
  <dcterms:modified xsi:type="dcterms:W3CDTF">2019-10-14T14:20:00Z</dcterms:modified>
</cp:coreProperties>
</file>