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BFF2" w14:textId="1CD939D6" w:rsidR="005C7AF4" w:rsidRDefault="008E2AD7" w:rsidP="005C117E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noProof/>
          <w:sz w:val="24"/>
          <w:szCs w:val="24"/>
        </w:rPr>
        <w:drawing>
          <wp:inline distT="0" distB="0" distL="0" distR="0" wp14:anchorId="548C8202" wp14:editId="153EB6E1">
            <wp:extent cx="1461023" cy="1440000"/>
            <wp:effectExtent l="0" t="0" r="6350" b="8255"/>
            <wp:docPr id="1871971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71855" name="Picture 187197185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4" t="12569" r="12887" b="12568"/>
                    <a:stretch/>
                  </pic:blipFill>
                  <pic:spPr bwMode="auto">
                    <a:xfrm>
                      <a:off x="0" y="0"/>
                      <a:ext cx="1461023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7A72D" w14:textId="026EB044" w:rsidR="00990EFA" w:rsidRPr="005C117E" w:rsidRDefault="00990EFA" w:rsidP="005C117E">
      <w:pPr>
        <w:spacing w:after="0" w:line="240" w:lineRule="auto"/>
        <w:rPr>
          <w:rFonts w:ascii="Arial" w:eastAsiaTheme="minorEastAsia" w:hAnsi="Arial" w:cs="Arial"/>
          <w:b/>
          <w:sz w:val="31"/>
          <w:szCs w:val="31"/>
        </w:rPr>
      </w:pPr>
      <w:r w:rsidRPr="005C117E">
        <w:rPr>
          <w:rFonts w:ascii="Arial" w:eastAsiaTheme="minorEastAsia" w:hAnsi="Arial" w:cs="Arial"/>
          <w:b/>
          <w:sz w:val="31"/>
          <w:szCs w:val="31"/>
        </w:rPr>
        <w:t xml:space="preserve">Three trends shaping Australian accommodation habits in </w:t>
      </w:r>
      <w:proofErr w:type="gramStart"/>
      <w:r w:rsidRPr="005C117E">
        <w:rPr>
          <w:rFonts w:ascii="Arial" w:eastAsiaTheme="minorEastAsia" w:hAnsi="Arial" w:cs="Arial"/>
          <w:b/>
          <w:sz w:val="31"/>
          <w:szCs w:val="31"/>
        </w:rPr>
        <w:t>2024</w:t>
      </w:r>
      <w:proofErr w:type="gramEnd"/>
      <w:r w:rsidRPr="005C117E">
        <w:rPr>
          <w:rFonts w:ascii="Arial" w:eastAsiaTheme="minorEastAsia" w:hAnsi="Arial" w:cs="Arial"/>
          <w:b/>
          <w:sz w:val="31"/>
          <w:szCs w:val="31"/>
        </w:rPr>
        <w:t xml:space="preserve"> </w:t>
      </w:r>
    </w:p>
    <w:p w14:paraId="3FC36ECA" w14:textId="77777777" w:rsidR="008E2AD7" w:rsidRPr="005C117E" w:rsidRDefault="008E2AD7" w:rsidP="005C117E">
      <w:pPr>
        <w:spacing w:after="0" w:line="240" w:lineRule="auto"/>
        <w:rPr>
          <w:rFonts w:ascii="Arial" w:eastAsiaTheme="minorEastAsia" w:hAnsi="Arial" w:cs="Arial"/>
        </w:rPr>
      </w:pPr>
    </w:p>
    <w:p w14:paraId="7F3A7E8E" w14:textId="3A67EB87" w:rsidR="001157C2" w:rsidRPr="005C117E" w:rsidRDefault="00E8136D" w:rsidP="005C117E">
      <w:pPr>
        <w:spacing w:after="0" w:line="240" w:lineRule="auto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 xml:space="preserve">After facing </w:t>
      </w:r>
      <w:r w:rsidR="52728A31" w:rsidRPr="005C117E">
        <w:rPr>
          <w:rFonts w:ascii="Arial" w:eastAsiaTheme="minorEastAsia" w:hAnsi="Arial" w:cs="Arial"/>
        </w:rPr>
        <w:t>many</w:t>
      </w:r>
      <w:r w:rsidRPr="005C117E">
        <w:rPr>
          <w:rFonts w:ascii="Arial" w:eastAsiaTheme="minorEastAsia" w:hAnsi="Arial" w:cs="Arial"/>
        </w:rPr>
        <w:t xml:space="preserve"> challenges </w:t>
      </w:r>
      <w:r w:rsidR="7919FBE3" w:rsidRPr="005C117E">
        <w:rPr>
          <w:rFonts w:ascii="Arial" w:eastAsiaTheme="minorEastAsia" w:hAnsi="Arial" w:cs="Arial"/>
        </w:rPr>
        <w:t>in recent</w:t>
      </w:r>
      <w:r w:rsidRPr="005C117E">
        <w:rPr>
          <w:rFonts w:ascii="Arial" w:eastAsiaTheme="minorEastAsia" w:hAnsi="Arial" w:cs="Arial"/>
        </w:rPr>
        <w:t xml:space="preserve"> years, Australian accommodation providers are gearing up for a period of resurgence and growth. </w:t>
      </w:r>
    </w:p>
    <w:p w14:paraId="6CFB8396" w14:textId="77777777" w:rsidR="005C7AF4" w:rsidRPr="005C117E" w:rsidRDefault="005C7AF4" w:rsidP="005C117E">
      <w:pPr>
        <w:spacing w:after="0" w:line="240" w:lineRule="auto"/>
        <w:rPr>
          <w:rFonts w:ascii="Arial" w:eastAsiaTheme="minorEastAsia" w:hAnsi="Arial" w:cs="Arial"/>
        </w:rPr>
      </w:pPr>
    </w:p>
    <w:p w14:paraId="4E3CAB92" w14:textId="6C82B9EA" w:rsidR="00E557F8" w:rsidRPr="005C117E" w:rsidRDefault="008E7E24" w:rsidP="005C117E">
      <w:pPr>
        <w:spacing w:after="0" w:line="240" w:lineRule="auto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 xml:space="preserve">The latest </w:t>
      </w:r>
      <w:hyperlink r:id="rId11" w:history="1">
        <w:r w:rsidR="00C076E6" w:rsidRPr="005C117E">
          <w:rPr>
            <w:rStyle w:val="Hyperlink"/>
            <w:rFonts w:ascii="Arial" w:eastAsiaTheme="minorEastAsia" w:hAnsi="Arial" w:cs="Arial"/>
          </w:rPr>
          <w:t>American Express 2024 Global Travel Trends</w:t>
        </w:r>
      </w:hyperlink>
      <w:r w:rsidR="00C076E6" w:rsidRPr="005C117E">
        <w:rPr>
          <w:rFonts w:ascii="Arial" w:eastAsiaTheme="minorEastAsia" w:hAnsi="Arial" w:cs="Arial"/>
        </w:rPr>
        <w:t xml:space="preserve"> report </w:t>
      </w:r>
      <w:r w:rsidR="008F41F4" w:rsidRPr="005C117E">
        <w:rPr>
          <w:rFonts w:ascii="Arial" w:eastAsiaTheme="minorEastAsia" w:hAnsi="Arial" w:cs="Arial"/>
        </w:rPr>
        <w:t xml:space="preserve">found </w:t>
      </w:r>
      <w:r w:rsidR="002A1CCC" w:rsidRPr="005C117E">
        <w:rPr>
          <w:rFonts w:ascii="Arial" w:eastAsiaTheme="minorEastAsia" w:hAnsi="Arial" w:cs="Arial"/>
        </w:rPr>
        <w:t xml:space="preserve">the vast majority </w:t>
      </w:r>
      <w:r w:rsidR="0030533B" w:rsidRPr="005C117E">
        <w:rPr>
          <w:rFonts w:ascii="Arial" w:eastAsiaTheme="minorEastAsia" w:hAnsi="Arial" w:cs="Arial"/>
        </w:rPr>
        <w:t xml:space="preserve">(76 per cent) of Australians </w:t>
      </w:r>
      <w:r w:rsidR="008F41F4" w:rsidRPr="005C117E">
        <w:rPr>
          <w:rFonts w:ascii="Arial" w:eastAsiaTheme="minorEastAsia" w:hAnsi="Arial" w:cs="Arial"/>
        </w:rPr>
        <w:t xml:space="preserve">are </w:t>
      </w:r>
      <w:r w:rsidR="0030533B" w:rsidRPr="005C117E">
        <w:rPr>
          <w:rFonts w:ascii="Arial" w:eastAsiaTheme="minorEastAsia" w:hAnsi="Arial" w:cs="Arial"/>
        </w:rPr>
        <w:t>plan</w:t>
      </w:r>
      <w:r w:rsidR="008F41F4" w:rsidRPr="005C117E">
        <w:rPr>
          <w:rFonts w:ascii="Arial" w:eastAsiaTheme="minorEastAsia" w:hAnsi="Arial" w:cs="Arial"/>
        </w:rPr>
        <w:t>ning</w:t>
      </w:r>
      <w:r w:rsidR="0030533B" w:rsidRPr="005C117E">
        <w:rPr>
          <w:rFonts w:ascii="Arial" w:eastAsiaTheme="minorEastAsia" w:hAnsi="Arial" w:cs="Arial"/>
        </w:rPr>
        <w:t xml:space="preserve"> to take up to three vacations </w:t>
      </w:r>
      <w:r w:rsidR="008F41F4" w:rsidRPr="005C117E">
        <w:rPr>
          <w:rFonts w:ascii="Arial" w:eastAsiaTheme="minorEastAsia" w:hAnsi="Arial" w:cs="Arial"/>
        </w:rPr>
        <w:t>this year</w:t>
      </w:r>
      <w:r w:rsidR="0030533B" w:rsidRPr="005C117E">
        <w:rPr>
          <w:rFonts w:ascii="Arial" w:eastAsiaTheme="minorEastAsia" w:hAnsi="Arial" w:cs="Arial"/>
        </w:rPr>
        <w:t xml:space="preserve">, using spending hacks </w:t>
      </w:r>
      <w:r w:rsidR="00A2354C" w:rsidRPr="005C117E">
        <w:rPr>
          <w:rFonts w:ascii="Arial" w:eastAsiaTheme="minorEastAsia" w:hAnsi="Arial" w:cs="Arial"/>
        </w:rPr>
        <w:t>such as</w:t>
      </w:r>
      <w:r w:rsidR="0030533B" w:rsidRPr="005C117E">
        <w:rPr>
          <w:rFonts w:ascii="Arial" w:eastAsiaTheme="minorEastAsia" w:hAnsi="Arial" w:cs="Arial"/>
        </w:rPr>
        <w:t xml:space="preserve"> credit card rewards points to get the most out of their</w:t>
      </w:r>
      <w:r w:rsidR="0034491B" w:rsidRPr="005C117E">
        <w:rPr>
          <w:rFonts w:ascii="Arial" w:eastAsiaTheme="minorEastAsia" w:hAnsi="Arial" w:cs="Arial"/>
        </w:rPr>
        <w:t xml:space="preserve"> travel</w:t>
      </w:r>
      <w:r w:rsidR="0030533B" w:rsidRPr="005C117E">
        <w:rPr>
          <w:rFonts w:ascii="Arial" w:eastAsiaTheme="minorEastAsia" w:hAnsi="Arial" w:cs="Arial"/>
        </w:rPr>
        <w:t xml:space="preserve"> experiences.</w:t>
      </w:r>
    </w:p>
    <w:p w14:paraId="39604B19" w14:textId="77777777" w:rsidR="005C7AF4" w:rsidRPr="005C117E" w:rsidRDefault="005C7AF4" w:rsidP="005C117E">
      <w:pPr>
        <w:spacing w:after="0" w:line="240" w:lineRule="auto"/>
        <w:rPr>
          <w:rFonts w:ascii="Arial" w:eastAsiaTheme="minorEastAsia" w:hAnsi="Arial" w:cs="Arial"/>
        </w:rPr>
      </w:pPr>
    </w:p>
    <w:p w14:paraId="3C9DEF80" w14:textId="07F411EC" w:rsidR="0030533B" w:rsidRPr="005C117E" w:rsidRDefault="00E95560" w:rsidP="005C117E">
      <w:pPr>
        <w:spacing w:after="0" w:line="240" w:lineRule="auto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>The report uncovers a range of interesting insights about how Australians like to travel, with three key trends shap</w:t>
      </w:r>
      <w:r w:rsidR="00D972FF" w:rsidRPr="005C117E">
        <w:rPr>
          <w:rFonts w:ascii="Arial" w:eastAsiaTheme="minorEastAsia" w:hAnsi="Arial" w:cs="Arial"/>
        </w:rPr>
        <w:t>ing</w:t>
      </w:r>
      <w:r w:rsidRPr="005C117E">
        <w:rPr>
          <w:rFonts w:ascii="Arial" w:eastAsiaTheme="minorEastAsia" w:hAnsi="Arial" w:cs="Arial"/>
        </w:rPr>
        <w:t xml:space="preserve"> accommodation habits in 2024.</w:t>
      </w:r>
    </w:p>
    <w:p w14:paraId="7FEC6876" w14:textId="77777777" w:rsidR="005C7AF4" w:rsidRPr="005C117E" w:rsidRDefault="005C7AF4" w:rsidP="005C117E">
      <w:pPr>
        <w:spacing w:after="0" w:line="240" w:lineRule="auto"/>
        <w:rPr>
          <w:rFonts w:ascii="Arial" w:eastAsiaTheme="minorEastAsia" w:hAnsi="Arial" w:cs="Arial"/>
        </w:rPr>
      </w:pPr>
    </w:p>
    <w:p w14:paraId="032F0490" w14:textId="7400C3F6" w:rsidR="00E95560" w:rsidRPr="005C117E" w:rsidRDefault="00E95560" w:rsidP="005C117E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Arial" w:eastAsiaTheme="minorEastAsia" w:hAnsi="Arial" w:cs="Arial"/>
          <w:b/>
        </w:rPr>
      </w:pPr>
      <w:r w:rsidRPr="005C117E">
        <w:rPr>
          <w:rFonts w:ascii="Arial" w:eastAsiaTheme="minorEastAsia" w:hAnsi="Arial" w:cs="Arial"/>
          <w:b/>
        </w:rPr>
        <w:t>The resurgence of the solo traveller</w:t>
      </w:r>
    </w:p>
    <w:p w14:paraId="341B71A2" w14:textId="28BB0122" w:rsidR="002930B0" w:rsidRPr="005C117E" w:rsidRDefault="00F975CA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 xml:space="preserve">Travelling alone </w:t>
      </w:r>
      <w:r w:rsidR="00ED6210" w:rsidRPr="005C117E">
        <w:rPr>
          <w:rFonts w:ascii="Arial" w:eastAsiaTheme="minorEastAsia" w:hAnsi="Arial" w:cs="Arial"/>
        </w:rPr>
        <w:t xml:space="preserve">can be </w:t>
      </w:r>
      <w:r w:rsidRPr="005C117E">
        <w:rPr>
          <w:rFonts w:ascii="Arial" w:eastAsiaTheme="minorEastAsia" w:hAnsi="Arial" w:cs="Arial"/>
        </w:rPr>
        <w:t>a fulfilling experience that lets travellers</w:t>
      </w:r>
      <w:r w:rsidR="00630F78" w:rsidRPr="005C117E">
        <w:rPr>
          <w:rFonts w:ascii="Arial" w:eastAsiaTheme="minorEastAsia" w:hAnsi="Arial" w:cs="Arial"/>
        </w:rPr>
        <w:t xml:space="preserve"> unwind, discover new </w:t>
      </w:r>
      <w:proofErr w:type="gramStart"/>
      <w:r w:rsidR="002E3E93" w:rsidRPr="005C117E">
        <w:rPr>
          <w:rFonts w:ascii="Arial" w:eastAsiaTheme="minorEastAsia" w:hAnsi="Arial" w:cs="Arial"/>
        </w:rPr>
        <w:t>experiences</w:t>
      </w:r>
      <w:proofErr w:type="gramEnd"/>
      <w:r w:rsidR="00630F78" w:rsidRPr="005C117E">
        <w:rPr>
          <w:rFonts w:ascii="Arial" w:eastAsiaTheme="minorEastAsia" w:hAnsi="Arial" w:cs="Arial"/>
        </w:rPr>
        <w:t xml:space="preserve"> </w:t>
      </w:r>
      <w:r w:rsidR="002E3E93" w:rsidRPr="005C117E">
        <w:rPr>
          <w:rFonts w:ascii="Arial" w:eastAsiaTheme="minorEastAsia" w:hAnsi="Arial" w:cs="Arial"/>
        </w:rPr>
        <w:t xml:space="preserve">and </w:t>
      </w:r>
      <w:r w:rsidR="00ED6210" w:rsidRPr="005C117E">
        <w:rPr>
          <w:rFonts w:ascii="Arial" w:eastAsiaTheme="minorEastAsia" w:hAnsi="Arial" w:cs="Arial"/>
        </w:rPr>
        <w:t>meet new friends</w:t>
      </w:r>
      <w:r w:rsidRPr="005C117E">
        <w:rPr>
          <w:rFonts w:ascii="Arial" w:eastAsiaTheme="minorEastAsia" w:hAnsi="Arial" w:cs="Arial"/>
        </w:rPr>
        <w:t>.</w:t>
      </w:r>
      <w:r w:rsidR="002930B0" w:rsidRPr="005C117E">
        <w:rPr>
          <w:rFonts w:ascii="Arial" w:eastAsiaTheme="minorEastAsia" w:hAnsi="Arial" w:cs="Arial"/>
        </w:rPr>
        <w:t xml:space="preserve"> </w:t>
      </w:r>
    </w:p>
    <w:p w14:paraId="16BF8641" w14:textId="77777777" w:rsidR="005C7AF4" w:rsidRPr="005C117E" w:rsidRDefault="005C7AF4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</w:p>
    <w:p w14:paraId="77564ED4" w14:textId="06BC45A4" w:rsidR="007763C9" w:rsidRPr="005C117E" w:rsidRDefault="00C43516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>A</w:t>
      </w:r>
      <w:r w:rsidR="007229CA" w:rsidRPr="005C117E">
        <w:rPr>
          <w:rFonts w:ascii="Arial" w:eastAsiaTheme="minorEastAsia" w:hAnsi="Arial" w:cs="Arial"/>
        </w:rPr>
        <w:t>lmost two-thirds (65 per cent)</w:t>
      </w:r>
      <w:r w:rsidRPr="005C117E">
        <w:rPr>
          <w:rFonts w:ascii="Arial" w:eastAsiaTheme="minorEastAsia" w:hAnsi="Arial" w:cs="Arial"/>
        </w:rPr>
        <w:t xml:space="preserve"> of Australians</w:t>
      </w:r>
      <w:r w:rsidR="007229CA" w:rsidRPr="005C117E">
        <w:rPr>
          <w:rFonts w:ascii="Arial" w:eastAsiaTheme="minorEastAsia" w:hAnsi="Arial" w:cs="Arial"/>
        </w:rPr>
        <w:t xml:space="preserve"> say they’re planning on taking a trip alone this year</w:t>
      </w:r>
      <w:r w:rsidR="00A33FE5" w:rsidRPr="005C117E">
        <w:rPr>
          <w:rFonts w:ascii="Arial" w:eastAsiaTheme="minorEastAsia" w:hAnsi="Arial" w:cs="Arial"/>
        </w:rPr>
        <w:t>, with 29 per</w:t>
      </w:r>
      <w:r w:rsidR="0005593D" w:rsidRPr="005C117E">
        <w:rPr>
          <w:rFonts w:ascii="Arial" w:eastAsiaTheme="minorEastAsia" w:hAnsi="Arial" w:cs="Arial"/>
        </w:rPr>
        <w:t xml:space="preserve"> cent of them saying they want to travel solo to ‘treat themselves’ and 27 per cent saying they want to </w:t>
      </w:r>
      <w:r w:rsidR="007763C9" w:rsidRPr="005C117E">
        <w:rPr>
          <w:rFonts w:ascii="Arial" w:eastAsiaTheme="minorEastAsia" w:hAnsi="Arial" w:cs="Arial"/>
        </w:rPr>
        <w:t>‘</w:t>
      </w:r>
      <w:r w:rsidRPr="005C117E">
        <w:rPr>
          <w:rFonts w:ascii="Arial" w:eastAsiaTheme="minorEastAsia" w:hAnsi="Arial" w:cs="Arial"/>
        </w:rPr>
        <w:t>tak</w:t>
      </w:r>
      <w:r w:rsidR="007763C9" w:rsidRPr="005C117E">
        <w:rPr>
          <w:rFonts w:ascii="Arial" w:eastAsiaTheme="minorEastAsia" w:hAnsi="Arial" w:cs="Arial"/>
        </w:rPr>
        <w:t>e</w:t>
      </w:r>
      <w:r w:rsidRPr="005C117E">
        <w:rPr>
          <w:rFonts w:ascii="Arial" w:eastAsiaTheme="minorEastAsia" w:hAnsi="Arial" w:cs="Arial"/>
        </w:rPr>
        <w:t xml:space="preserve"> a break from the chaos of day-to-day life</w:t>
      </w:r>
      <w:r w:rsidR="007763C9" w:rsidRPr="005C117E">
        <w:rPr>
          <w:rFonts w:ascii="Arial" w:eastAsiaTheme="minorEastAsia" w:hAnsi="Arial" w:cs="Arial"/>
        </w:rPr>
        <w:t>’</w:t>
      </w:r>
      <w:r w:rsidR="00B958EB" w:rsidRPr="005C117E">
        <w:rPr>
          <w:rFonts w:ascii="Arial" w:eastAsiaTheme="minorEastAsia" w:hAnsi="Arial" w:cs="Arial"/>
        </w:rPr>
        <w:t>.</w:t>
      </w:r>
    </w:p>
    <w:p w14:paraId="04C41617" w14:textId="77777777" w:rsidR="005C7AF4" w:rsidRPr="005C117E" w:rsidRDefault="005C7AF4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</w:p>
    <w:p w14:paraId="02BAD850" w14:textId="7FC86157" w:rsidR="007229CA" w:rsidRPr="005C117E" w:rsidRDefault="007763C9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>The priorit</w:t>
      </w:r>
      <w:r w:rsidR="001023A7" w:rsidRPr="005C117E">
        <w:rPr>
          <w:rFonts w:ascii="Arial" w:eastAsiaTheme="minorEastAsia" w:hAnsi="Arial" w:cs="Arial"/>
        </w:rPr>
        <w:t xml:space="preserve">ies </w:t>
      </w:r>
      <w:r w:rsidRPr="005C117E">
        <w:rPr>
          <w:rFonts w:ascii="Arial" w:eastAsiaTheme="minorEastAsia" w:hAnsi="Arial" w:cs="Arial"/>
        </w:rPr>
        <w:t xml:space="preserve">for </w:t>
      </w:r>
      <w:r w:rsidR="0080347C" w:rsidRPr="005C117E">
        <w:rPr>
          <w:rFonts w:ascii="Arial" w:eastAsiaTheme="minorEastAsia" w:hAnsi="Arial" w:cs="Arial"/>
        </w:rPr>
        <w:t xml:space="preserve">these </w:t>
      </w:r>
      <w:r w:rsidRPr="005C117E">
        <w:rPr>
          <w:rFonts w:ascii="Arial" w:eastAsiaTheme="minorEastAsia" w:hAnsi="Arial" w:cs="Arial"/>
        </w:rPr>
        <w:t xml:space="preserve">independent travellers this year </w:t>
      </w:r>
      <w:r w:rsidR="001023A7" w:rsidRPr="005C117E">
        <w:rPr>
          <w:rFonts w:ascii="Arial" w:eastAsiaTheme="minorEastAsia" w:hAnsi="Arial" w:cs="Arial"/>
        </w:rPr>
        <w:t xml:space="preserve">include </w:t>
      </w:r>
      <w:r w:rsidR="0080347C" w:rsidRPr="005C117E">
        <w:rPr>
          <w:rFonts w:ascii="Arial" w:eastAsiaTheme="minorEastAsia" w:hAnsi="Arial" w:cs="Arial"/>
        </w:rPr>
        <w:t xml:space="preserve">travelling domestically within Australia and </w:t>
      </w:r>
      <w:r w:rsidR="002930B0" w:rsidRPr="005C117E">
        <w:rPr>
          <w:rFonts w:ascii="Arial" w:eastAsiaTheme="minorEastAsia" w:hAnsi="Arial" w:cs="Arial"/>
        </w:rPr>
        <w:t>visiting new cities.</w:t>
      </w:r>
    </w:p>
    <w:p w14:paraId="413FD99D" w14:textId="77777777" w:rsidR="005C7AF4" w:rsidRPr="005C117E" w:rsidRDefault="005C7AF4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</w:p>
    <w:p w14:paraId="39D2108E" w14:textId="3235C755" w:rsidR="0030533B" w:rsidRPr="005C117E" w:rsidRDefault="002930B0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 xml:space="preserve">While solo travellers have a diverse range of needs, there are a range of facilities and services that accommodation providers might consider. Things like </w:t>
      </w:r>
      <w:r w:rsidR="00327509" w:rsidRPr="005C117E">
        <w:rPr>
          <w:rFonts w:ascii="Arial" w:eastAsiaTheme="minorEastAsia" w:hAnsi="Arial" w:cs="Arial"/>
        </w:rPr>
        <w:t xml:space="preserve">welcoming </w:t>
      </w:r>
      <w:r w:rsidRPr="005C117E">
        <w:rPr>
          <w:rFonts w:ascii="Arial" w:eastAsiaTheme="minorEastAsia" w:hAnsi="Arial" w:cs="Arial"/>
        </w:rPr>
        <w:t xml:space="preserve">communal spaces, hosted </w:t>
      </w:r>
      <w:proofErr w:type="gramStart"/>
      <w:r w:rsidRPr="005C117E">
        <w:rPr>
          <w:rFonts w:ascii="Arial" w:eastAsiaTheme="minorEastAsia" w:hAnsi="Arial" w:cs="Arial"/>
        </w:rPr>
        <w:t>activities</w:t>
      </w:r>
      <w:proofErr w:type="gramEnd"/>
      <w:r w:rsidRPr="005C117E">
        <w:rPr>
          <w:rFonts w:ascii="Arial" w:eastAsiaTheme="minorEastAsia" w:hAnsi="Arial" w:cs="Arial"/>
        </w:rPr>
        <w:t xml:space="preserve"> and events, and </w:t>
      </w:r>
      <w:r w:rsidR="001023A7" w:rsidRPr="005C117E">
        <w:rPr>
          <w:rFonts w:ascii="Arial" w:eastAsiaTheme="minorEastAsia" w:hAnsi="Arial" w:cs="Arial"/>
        </w:rPr>
        <w:t xml:space="preserve">providing </w:t>
      </w:r>
      <w:r w:rsidRPr="005C117E">
        <w:rPr>
          <w:rFonts w:ascii="Arial" w:eastAsiaTheme="minorEastAsia" w:hAnsi="Arial" w:cs="Arial"/>
        </w:rPr>
        <w:t xml:space="preserve">health and wellness services all help make travellers more comfortable and </w:t>
      </w:r>
      <w:r w:rsidR="00327509" w:rsidRPr="005C117E">
        <w:rPr>
          <w:rFonts w:ascii="Arial" w:eastAsiaTheme="minorEastAsia" w:hAnsi="Arial" w:cs="Arial"/>
        </w:rPr>
        <w:t xml:space="preserve">their </w:t>
      </w:r>
      <w:r w:rsidRPr="005C117E">
        <w:rPr>
          <w:rFonts w:ascii="Arial" w:eastAsiaTheme="minorEastAsia" w:hAnsi="Arial" w:cs="Arial"/>
        </w:rPr>
        <w:t xml:space="preserve">trips more memorable. </w:t>
      </w:r>
    </w:p>
    <w:p w14:paraId="20BCBDEA" w14:textId="77777777" w:rsidR="005C7AF4" w:rsidRPr="005C117E" w:rsidRDefault="005C7AF4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</w:p>
    <w:p w14:paraId="445209B2" w14:textId="1DBED97F" w:rsidR="002F1FAC" w:rsidRPr="005C117E" w:rsidRDefault="00477436" w:rsidP="005C117E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Arial" w:eastAsiaTheme="minorEastAsia" w:hAnsi="Arial" w:cs="Arial"/>
          <w:b/>
        </w:rPr>
      </w:pPr>
      <w:r w:rsidRPr="005C117E">
        <w:rPr>
          <w:rFonts w:ascii="Arial" w:eastAsiaTheme="minorEastAsia" w:hAnsi="Arial" w:cs="Arial"/>
          <w:b/>
        </w:rPr>
        <w:t xml:space="preserve">Elevating experiences for </w:t>
      </w:r>
      <w:r w:rsidR="7A94DC81" w:rsidRPr="005C117E">
        <w:rPr>
          <w:rFonts w:ascii="Arial" w:eastAsiaTheme="minorEastAsia" w:hAnsi="Arial" w:cs="Arial"/>
          <w:b/>
        </w:rPr>
        <w:t>eventgoers</w:t>
      </w:r>
    </w:p>
    <w:p w14:paraId="62E105BA" w14:textId="543FF702" w:rsidR="00477436" w:rsidRPr="005C117E" w:rsidRDefault="002F1FAC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>Aussie sporting fans</w:t>
      </w:r>
      <w:r w:rsidR="00477436" w:rsidRPr="005C117E">
        <w:rPr>
          <w:rFonts w:ascii="Arial" w:eastAsiaTheme="minorEastAsia" w:hAnsi="Arial" w:cs="Arial"/>
        </w:rPr>
        <w:t xml:space="preserve"> and </w:t>
      </w:r>
      <w:r w:rsidR="3C168C8C" w:rsidRPr="005C117E">
        <w:rPr>
          <w:rFonts w:ascii="Arial" w:eastAsiaTheme="minorEastAsia" w:hAnsi="Arial" w:cs="Arial"/>
        </w:rPr>
        <w:t>concertgoers</w:t>
      </w:r>
      <w:r w:rsidRPr="005C117E">
        <w:rPr>
          <w:rFonts w:ascii="Arial" w:eastAsiaTheme="minorEastAsia" w:hAnsi="Arial" w:cs="Arial"/>
        </w:rPr>
        <w:t xml:space="preserve"> </w:t>
      </w:r>
      <w:r w:rsidR="00477436" w:rsidRPr="005C117E">
        <w:rPr>
          <w:rFonts w:ascii="Arial" w:eastAsiaTheme="minorEastAsia" w:hAnsi="Arial" w:cs="Arial"/>
        </w:rPr>
        <w:t xml:space="preserve">are leading a </w:t>
      </w:r>
      <w:r w:rsidR="00774EE1" w:rsidRPr="005C117E">
        <w:rPr>
          <w:rFonts w:ascii="Arial" w:eastAsiaTheme="minorEastAsia" w:hAnsi="Arial" w:cs="Arial"/>
        </w:rPr>
        <w:t>revival</w:t>
      </w:r>
      <w:r w:rsidR="00477436" w:rsidRPr="005C117E">
        <w:rPr>
          <w:rFonts w:ascii="Arial" w:eastAsiaTheme="minorEastAsia" w:hAnsi="Arial" w:cs="Arial"/>
        </w:rPr>
        <w:t xml:space="preserve"> </w:t>
      </w:r>
      <w:r w:rsidR="00774EE1" w:rsidRPr="005C117E">
        <w:rPr>
          <w:rFonts w:ascii="Arial" w:eastAsiaTheme="minorEastAsia" w:hAnsi="Arial" w:cs="Arial"/>
        </w:rPr>
        <w:t>of</w:t>
      </w:r>
      <w:r w:rsidR="00477436" w:rsidRPr="005C117E">
        <w:rPr>
          <w:rFonts w:ascii="Arial" w:eastAsiaTheme="minorEastAsia" w:hAnsi="Arial" w:cs="Arial"/>
        </w:rPr>
        <w:t xml:space="preserve"> event-based accommodation, with a third (33 per cent) interested in traveling for a big sporting or cultural event. Sport is a big draw card, with 59 per cent of Australians planning to attend more live sports in 2024</w:t>
      </w:r>
      <w:r w:rsidR="00120CA3" w:rsidRPr="005C117E">
        <w:rPr>
          <w:rFonts w:ascii="Arial" w:eastAsiaTheme="minorEastAsia" w:hAnsi="Arial" w:cs="Arial"/>
        </w:rPr>
        <w:t xml:space="preserve"> compared to last </w:t>
      </w:r>
      <w:r w:rsidR="005C7AF4" w:rsidRPr="005C117E">
        <w:rPr>
          <w:rFonts w:ascii="Arial" w:eastAsiaTheme="minorEastAsia" w:hAnsi="Arial" w:cs="Arial"/>
        </w:rPr>
        <w:t>year and</w:t>
      </w:r>
      <w:r w:rsidR="00477436" w:rsidRPr="005C117E">
        <w:rPr>
          <w:rFonts w:ascii="Arial" w:eastAsiaTheme="minorEastAsia" w:hAnsi="Arial" w:cs="Arial"/>
        </w:rPr>
        <w:t xml:space="preserve"> one in five (20 per cent) saying they plan to travel domestically for </w:t>
      </w:r>
      <w:r w:rsidR="00F30517" w:rsidRPr="005C117E">
        <w:rPr>
          <w:rFonts w:ascii="Arial" w:eastAsiaTheme="minorEastAsia" w:hAnsi="Arial" w:cs="Arial"/>
        </w:rPr>
        <w:t xml:space="preserve">sport this year. </w:t>
      </w:r>
    </w:p>
    <w:p w14:paraId="2402A06D" w14:textId="77777777" w:rsidR="005C7AF4" w:rsidRPr="005C117E" w:rsidRDefault="005C7AF4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</w:p>
    <w:p w14:paraId="2AFDA998" w14:textId="454B52B9" w:rsidR="00F30517" w:rsidRPr="005C117E" w:rsidRDefault="00F30517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 xml:space="preserve">Concerts present a huge opportunity for accommodation providers. </w:t>
      </w:r>
      <w:r w:rsidR="00477436" w:rsidRPr="005C117E">
        <w:rPr>
          <w:rFonts w:ascii="Arial" w:eastAsiaTheme="minorEastAsia" w:hAnsi="Arial" w:cs="Arial"/>
        </w:rPr>
        <w:t xml:space="preserve">Taylor Swift’s record-breaking </w:t>
      </w:r>
      <w:r w:rsidR="00336136" w:rsidRPr="005C117E">
        <w:rPr>
          <w:rFonts w:ascii="Arial" w:eastAsiaTheme="minorEastAsia" w:hAnsi="Arial" w:cs="Arial"/>
        </w:rPr>
        <w:t>E</w:t>
      </w:r>
      <w:r w:rsidR="00477436" w:rsidRPr="005C117E">
        <w:rPr>
          <w:rFonts w:ascii="Arial" w:eastAsiaTheme="minorEastAsia" w:hAnsi="Arial" w:cs="Arial"/>
        </w:rPr>
        <w:t xml:space="preserve">ras </w:t>
      </w:r>
      <w:r w:rsidR="00336136" w:rsidRPr="005C117E">
        <w:rPr>
          <w:rFonts w:ascii="Arial" w:eastAsiaTheme="minorEastAsia" w:hAnsi="Arial" w:cs="Arial"/>
        </w:rPr>
        <w:t>T</w:t>
      </w:r>
      <w:r w:rsidR="00477436" w:rsidRPr="005C117E">
        <w:rPr>
          <w:rFonts w:ascii="Arial" w:eastAsiaTheme="minorEastAsia" w:hAnsi="Arial" w:cs="Arial"/>
        </w:rPr>
        <w:t xml:space="preserve">our had a </w:t>
      </w:r>
      <w:r w:rsidR="00ED164E" w:rsidRPr="005C117E">
        <w:rPr>
          <w:rFonts w:ascii="Arial" w:eastAsiaTheme="minorEastAsia" w:hAnsi="Arial" w:cs="Arial"/>
        </w:rPr>
        <w:t xml:space="preserve">positive </w:t>
      </w:r>
      <w:r w:rsidR="00477436" w:rsidRPr="005C117E">
        <w:rPr>
          <w:rFonts w:ascii="Arial" w:eastAsiaTheme="minorEastAsia" w:hAnsi="Arial" w:cs="Arial"/>
        </w:rPr>
        <w:t>impact on Sydney and Melbourne’s accommodation sector when she visited in February</w:t>
      </w:r>
      <w:r w:rsidR="00F173C7" w:rsidRPr="005C117E">
        <w:rPr>
          <w:rFonts w:ascii="Arial" w:eastAsiaTheme="minorEastAsia" w:hAnsi="Arial" w:cs="Arial"/>
        </w:rPr>
        <w:t xml:space="preserve">, with </w:t>
      </w:r>
      <w:r w:rsidR="00477436" w:rsidRPr="005C117E">
        <w:rPr>
          <w:rFonts w:ascii="Arial" w:eastAsiaTheme="minorEastAsia" w:hAnsi="Arial" w:cs="Arial"/>
        </w:rPr>
        <w:t>CoStar data show</w:t>
      </w:r>
      <w:r w:rsidR="00F173C7" w:rsidRPr="005C117E">
        <w:rPr>
          <w:rFonts w:ascii="Arial" w:eastAsiaTheme="minorEastAsia" w:hAnsi="Arial" w:cs="Arial"/>
        </w:rPr>
        <w:t>ing</w:t>
      </w:r>
      <w:r w:rsidR="00477436" w:rsidRPr="005C117E">
        <w:rPr>
          <w:rFonts w:ascii="Arial" w:eastAsiaTheme="minorEastAsia" w:hAnsi="Arial" w:cs="Arial"/>
        </w:rPr>
        <w:t xml:space="preserve"> both cities posted their </w:t>
      </w:r>
      <w:hyperlink r:id="rId12">
        <w:r w:rsidR="00477436" w:rsidRPr="005C117E">
          <w:rPr>
            <w:rStyle w:val="Hyperlink"/>
            <w:rFonts w:ascii="Arial" w:eastAsiaTheme="minorEastAsia" w:hAnsi="Arial" w:cs="Arial"/>
          </w:rPr>
          <w:t>highest average daily rates (ADR)</w:t>
        </w:r>
      </w:hyperlink>
      <w:r w:rsidR="00477436" w:rsidRPr="005C117E">
        <w:rPr>
          <w:rFonts w:ascii="Arial" w:eastAsiaTheme="minorEastAsia" w:hAnsi="Arial" w:cs="Arial"/>
        </w:rPr>
        <w:t xml:space="preserve"> for any month on record </w:t>
      </w:r>
      <w:r w:rsidR="00336136" w:rsidRPr="005C117E">
        <w:rPr>
          <w:rFonts w:ascii="Arial" w:eastAsiaTheme="minorEastAsia" w:hAnsi="Arial" w:cs="Arial"/>
        </w:rPr>
        <w:t xml:space="preserve">and </w:t>
      </w:r>
      <w:r w:rsidR="00477436" w:rsidRPr="005C117E">
        <w:rPr>
          <w:rFonts w:ascii="Arial" w:eastAsiaTheme="minorEastAsia" w:hAnsi="Arial" w:cs="Arial"/>
        </w:rPr>
        <w:t xml:space="preserve">fans in Sydney lamenting </w:t>
      </w:r>
      <w:hyperlink r:id="rId13">
        <w:r w:rsidR="00477436" w:rsidRPr="005C117E">
          <w:rPr>
            <w:rStyle w:val="Hyperlink"/>
            <w:rFonts w:ascii="Arial" w:eastAsiaTheme="minorEastAsia" w:hAnsi="Arial" w:cs="Arial"/>
          </w:rPr>
          <w:t>zero vacancy rates</w:t>
        </w:r>
      </w:hyperlink>
      <w:r w:rsidRPr="005C117E">
        <w:rPr>
          <w:rFonts w:ascii="Arial" w:eastAsiaTheme="minorEastAsia" w:hAnsi="Arial" w:cs="Arial"/>
        </w:rPr>
        <w:t xml:space="preserve"> during her visit.</w:t>
      </w:r>
    </w:p>
    <w:p w14:paraId="5A161017" w14:textId="77777777" w:rsidR="005C7AF4" w:rsidRPr="005C117E" w:rsidRDefault="005C7AF4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</w:p>
    <w:p w14:paraId="3255503D" w14:textId="75B15075" w:rsidR="00F30517" w:rsidRPr="005C117E" w:rsidRDefault="00F30517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>Accommodation providers have a unique opportunity to become integral to the event-going experience. Crafting event-specific packages</w:t>
      </w:r>
      <w:r w:rsidR="00BC7AEE" w:rsidRPr="005C117E">
        <w:rPr>
          <w:rFonts w:ascii="Arial" w:eastAsiaTheme="minorEastAsia" w:hAnsi="Arial" w:cs="Arial"/>
        </w:rPr>
        <w:t>,</w:t>
      </w:r>
      <w:r w:rsidRPr="005C117E">
        <w:rPr>
          <w:rFonts w:ascii="Arial" w:eastAsiaTheme="minorEastAsia" w:hAnsi="Arial" w:cs="Arial"/>
        </w:rPr>
        <w:t xml:space="preserve"> establishing partnerships with event organisers and transforming properties into cultural hubs can significantly appeal to </w:t>
      </w:r>
      <w:r w:rsidR="4767F89B" w:rsidRPr="005C117E">
        <w:rPr>
          <w:rFonts w:ascii="Arial" w:eastAsiaTheme="minorEastAsia" w:hAnsi="Arial" w:cs="Arial"/>
        </w:rPr>
        <w:t>this crowd</w:t>
      </w:r>
      <w:r w:rsidRPr="005C117E">
        <w:rPr>
          <w:rFonts w:ascii="Arial" w:eastAsiaTheme="minorEastAsia" w:hAnsi="Arial" w:cs="Arial"/>
        </w:rPr>
        <w:t xml:space="preserve">. </w:t>
      </w:r>
    </w:p>
    <w:p w14:paraId="52D1A029" w14:textId="77777777" w:rsidR="005C7AF4" w:rsidRPr="005C117E" w:rsidRDefault="005C7AF4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</w:p>
    <w:p w14:paraId="000F44EB" w14:textId="6EF67AA8" w:rsidR="002F1FAC" w:rsidRPr="005C117E" w:rsidRDefault="00F30517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>From logistical support like transportation to creating thematic experiences, accommodation</w:t>
      </w:r>
      <w:r w:rsidR="00BC7AEE" w:rsidRPr="005C117E">
        <w:rPr>
          <w:rFonts w:ascii="Arial" w:eastAsiaTheme="minorEastAsia" w:hAnsi="Arial" w:cs="Arial"/>
        </w:rPr>
        <w:t xml:space="preserve"> providers </w:t>
      </w:r>
      <w:r w:rsidRPr="005C117E">
        <w:rPr>
          <w:rFonts w:ascii="Arial" w:eastAsiaTheme="minorEastAsia" w:hAnsi="Arial" w:cs="Arial"/>
        </w:rPr>
        <w:t>can offer more than just a place to stay—they can become part of the excitement and allure.</w:t>
      </w:r>
    </w:p>
    <w:p w14:paraId="6C79E3F7" w14:textId="77777777" w:rsidR="005C7AF4" w:rsidRPr="005C117E" w:rsidRDefault="005C7AF4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</w:p>
    <w:p w14:paraId="203FBE13" w14:textId="3043A109" w:rsidR="00BF0C92" w:rsidRPr="005C117E" w:rsidRDefault="00FA52A5" w:rsidP="005C117E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Arial" w:eastAsiaTheme="minorEastAsia" w:hAnsi="Arial" w:cs="Arial"/>
          <w:b/>
        </w:rPr>
      </w:pPr>
      <w:r w:rsidRPr="005C117E">
        <w:rPr>
          <w:rFonts w:ascii="Arial" w:eastAsiaTheme="minorEastAsia" w:hAnsi="Arial" w:cs="Arial"/>
          <w:b/>
        </w:rPr>
        <w:t xml:space="preserve">Cost-effective packages that tick off bucket-list experiences </w:t>
      </w:r>
    </w:p>
    <w:p w14:paraId="28C98C0C" w14:textId="7986F9D0" w:rsidR="00B72835" w:rsidRPr="005C117E" w:rsidRDefault="009C5352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 xml:space="preserve">Australians </w:t>
      </w:r>
      <w:r w:rsidR="00053FF0" w:rsidRPr="005C117E">
        <w:rPr>
          <w:rFonts w:ascii="Arial" w:eastAsiaTheme="minorEastAsia" w:hAnsi="Arial" w:cs="Arial"/>
        </w:rPr>
        <w:t xml:space="preserve">planning a major trip in 2024 </w:t>
      </w:r>
      <w:r w:rsidRPr="005C117E">
        <w:rPr>
          <w:rFonts w:ascii="Arial" w:eastAsiaTheme="minorEastAsia" w:hAnsi="Arial" w:cs="Arial"/>
        </w:rPr>
        <w:t xml:space="preserve">are increasingly looking for meaningful and fulfilling travel options, as </w:t>
      </w:r>
      <w:r w:rsidR="00B72835" w:rsidRPr="005C117E">
        <w:rPr>
          <w:rFonts w:ascii="Arial" w:eastAsiaTheme="minorEastAsia" w:hAnsi="Arial" w:cs="Arial"/>
        </w:rPr>
        <w:t xml:space="preserve">more than </w:t>
      </w:r>
      <w:r w:rsidRPr="005C117E">
        <w:rPr>
          <w:rFonts w:ascii="Arial" w:eastAsiaTheme="minorEastAsia" w:hAnsi="Arial" w:cs="Arial"/>
        </w:rPr>
        <w:t xml:space="preserve">one-third (35 per cent) cite ticking off </w:t>
      </w:r>
      <w:r w:rsidR="00FA52A5" w:rsidRPr="005C117E">
        <w:rPr>
          <w:rFonts w:ascii="Arial" w:eastAsiaTheme="minorEastAsia" w:hAnsi="Arial" w:cs="Arial"/>
        </w:rPr>
        <w:t xml:space="preserve">their </w:t>
      </w:r>
      <w:r w:rsidRPr="005C117E">
        <w:rPr>
          <w:rFonts w:ascii="Arial" w:eastAsiaTheme="minorEastAsia" w:hAnsi="Arial" w:cs="Arial"/>
        </w:rPr>
        <w:t>bucket-list</w:t>
      </w:r>
      <w:r w:rsidR="00FA52A5" w:rsidRPr="005C117E">
        <w:rPr>
          <w:rFonts w:ascii="Arial" w:eastAsiaTheme="minorEastAsia" w:hAnsi="Arial" w:cs="Arial"/>
        </w:rPr>
        <w:t>s as a top reason</w:t>
      </w:r>
      <w:r w:rsidR="00053FF0" w:rsidRPr="005C117E">
        <w:rPr>
          <w:rFonts w:ascii="Arial" w:eastAsiaTheme="minorEastAsia" w:hAnsi="Arial" w:cs="Arial"/>
        </w:rPr>
        <w:t>.</w:t>
      </w:r>
    </w:p>
    <w:p w14:paraId="6E06B558" w14:textId="77777777" w:rsidR="005C7AF4" w:rsidRPr="005C117E" w:rsidRDefault="005C7AF4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</w:p>
    <w:p w14:paraId="1A0AE539" w14:textId="512B46FD" w:rsidR="00FA52A5" w:rsidRPr="005C117E" w:rsidRDefault="00AE7998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>B</w:t>
      </w:r>
      <w:r w:rsidR="00FA52A5" w:rsidRPr="005C117E">
        <w:rPr>
          <w:rFonts w:ascii="Arial" w:eastAsiaTheme="minorEastAsia" w:hAnsi="Arial" w:cs="Arial"/>
        </w:rPr>
        <w:t xml:space="preserve">ut they </w:t>
      </w:r>
      <w:r w:rsidRPr="005C117E">
        <w:rPr>
          <w:rFonts w:ascii="Arial" w:eastAsiaTheme="minorEastAsia" w:hAnsi="Arial" w:cs="Arial"/>
        </w:rPr>
        <w:t xml:space="preserve">also </w:t>
      </w:r>
      <w:r w:rsidR="00FA52A5" w:rsidRPr="005C117E">
        <w:rPr>
          <w:rFonts w:ascii="Arial" w:eastAsiaTheme="minorEastAsia" w:hAnsi="Arial" w:cs="Arial"/>
        </w:rPr>
        <w:t>want to achieve these experiences in a cost-effective way</w:t>
      </w:r>
      <w:r w:rsidR="00B72835" w:rsidRPr="005C117E">
        <w:rPr>
          <w:rFonts w:ascii="Arial" w:eastAsiaTheme="minorEastAsia" w:hAnsi="Arial" w:cs="Arial"/>
        </w:rPr>
        <w:t>, with a</w:t>
      </w:r>
      <w:r w:rsidR="00FA52A5" w:rsidRPr="005C117E">
        <w:rPr>
          <w:rFonts w:ascii="Arial" w:eastAsiaTheme="minorEastAsia" w:hAnsi="Arial" w:cs="Arial"/>
        </w:rPr>
        <w:t>lmost three-quarters (73 per cent)</w:t>
      </w:r>
      <w:r w:rsidR="00D52363" w:rsidRPr="005C117E">
        <w:rPr>
          <w:rFonts w:ascii="Arial" w:eastAsiaTheme="minorEastAsia" w:hAnsi="Arial" w:cs="Arial"/>
        </w:rPr>
        <w:t xml:space="preserve"> of Australians</w:t>
      </w:r>
      <w:r w:rsidR="00FA52A5" w:rsidRPr="005C117E">
        <w:rPr>
          <w:rFonts w:ascii="Arial" w:eastAsiaTheme="minorEastAsia" w:hAnsi="Arial" w:cs="Arial"/>
        </w:rPr>
        <w:t xml:space="preserve"> </w:t>
      </w:r>
      <w:r w:rsidR="00B958EB" w:rsidRPr="005C117E">
        <w:rPr>
          <w:rFonts w:ascii="Arial" w:eastAsiaTheme="minorEastAsia" w:hAnsi="Arial" w:cs="Arial"/>
        </w:rPr>
        <w:t>agreeing</w:t>
      </w:r>
      <w:r w:rsidR="000A3514" w:rsidRPr="005C117E">
        <w:rPr>
          <w:rFonts w:ascii="Arial" w:eastAsiaTheme="minorEastAsia" w:hAnsi="Arial" w:cs="Arial"/>
        </w:rPr>
        <w:t xml:space="preserve"> </w:t>
      </w:r>
      <w:r w:rsidR="00FA52A5" w:rsidRPr="005C117E">
        <w:rPr>
          <w:rFonts w:ascii="Arial" w:eastAsiaTheme="minorEastAsia" w:hAnsi="Arial" w:cs="Arial"/>
        </w:rPr>
        <w:t xml:space="preserve">they’re willing to give up daily expenses, like coffee and food delivery, to </w:t>
      </w:r>
      <w:r w:rsidR="00AE304D" w:rsidRPr="005C117E">
        <w:rPr>
          <w:rFonts w:ascii="Arial" w:eastAsiaTheme="minorEastAsia" w:hAnsi="Arial" w:cs="Arial"/>
        </w:rPr>
        <w:t xml:space="preserve">save </w:t>
      </w:r>
      <w:r w:rsidR="00FA52A5" w:rsidRPr="005C117E">
        <w:rPr>
          <w:rFonts w:ascii="Arial" w:eastAsiaTheme="minorEastAsia" w:hAnsi="Arial" w:cs="Arial"/>
        </w:rPr>
        <w:t xml:space="preserve">money for their travels. </w:t>
      </w:r>
      <w:r w:rsidR="00D52363" w:rsidRPr="005C117E">
        <w:rPr>
          <w:rFonts w:ascii="Arial" w:eastAsiaTheme="minorEastAsia" w:hAnsi="Arial" w:cs="Arial"/>
        </w:rPr>
        <w:t>A quarter (25</w:t>
      </w:r>
      <w:r w:rsidR="002A6B3B" w:rsidRPr="005C117E">
        <w:rPr>
          <w:rFonts w:ascii="Arial" w:eastAsiaTheme="minorEastAsia" w:hAnsi="Arial" w:cs="Arial"/>
        </w:rPr>
        <w:t xml:space="preserve"> per cent</w:t>
      </w:r>
      <w:r w:rsidR="00D52363" w:rsidRPr="005C117E">
        <w:rPr>
          <w:rFonts w:ascii="Arial" w:eastAsiaTheme="minorEastAsia" w:hAnsi="Arial" w:cs="Arial"/>
        </w:rPr>
        <w:t xml:space="preserve">) </w:t>
      </w:r>
      <w:r w:rsidR="000A3514" w:rsidRPr="005C117E">
        <w:rPr>
          <w:rFonts w:ascii="Arial" w:eastAsiaTheme="minorEastAsia" w:hAnsi="Arial" w:cs="Arial"/>
        </w:rPr>
        <w:t xml:space="preserve">planning </w:t>
      </w:r>
      <w:r w:rsidR="00B958EB" w:rsidRPr="005C117E">
        <w:rPr>
          <w:rFonts w:ascii="Arial" w:eastAsiaTheme="minorEastAsia" w:hAnsi="Arial" w:cs="Arial"/>
        </w:rPr>
        <w:t>to travel</w:t>
      </w:r>
      <w:r w:rsidR="000A3514" w:rsidRPr="005C117E">
        <w:rPr>
          <w:rFonts w:ascii="Arial" w:eastAsiaTheme="minorEastAsia" w:hAnsi="Arial" w:cs="Arial"/>
        </w:rPr>
        <w:t xml:space="preserve"> in 2024 </w:t>
      </w:r>
      <w:r w:rsidR="00D52363" w:rsidRPr="005C117E">
        <w:rPr>
          <w:rFonts w:ascii="Arial" w:eastAsiaTheme="minorEastAsia" w:hAnsi="Arial" w:cs="Arial"/>
        </w:rPr>
        <w:t xml:space="preserve">also plan to use their credit card points to cover travel expenses, which </w:t>
      </w:r>
      <w:r w:rsidR="26127C06" w:rsidRPr="005C117E">
        <w:rPr>
          <w:rFonts w:ascii="Arial" w:eastAsiaTheme="minorEastAsia" w:hAnsi="Arial" w:cs="Arial"/>
        </w:rPr>
        <w:t>i</w:t>
      </w:r>
      <w:r w:rsidR="00D52363" w:rsidRPr="005C117E">
        <w:rPr>
          <w:rFonts w:ascii="Arial" w:eastAsiaTheme="minorEastAsia" w:hAnsi="Arial" w:cs="Arial"/>
        </w:rPr>
        <w:t>s a growing trend as people look for creative ways to secure the best holiday experiences.</w:t>
      </w:r>
    </w:p>
    <w:p w14:paraId="378AE2F1" w14:textId="77777777" w:rsidR="005C7AF4" w:rsidRPr="005C117E" w:rsidRDefault="005C7AF4" w:rsidP="005C117E">
      <w:pPr>
        <w:spacing w:after="0" w:line="240" w:lineRule="auto"/>
        <w:ind w:left="567"/>
        <w:rPr>
          <w:rFonts w:ascii="Arial" w:eastAsiaTheme="minorEastAsia" w:hAnsi="Arial" w:cs="Arial"/>
        </w:rPr>
      </w:pPr>
    </w:p>
    <w:p w14:paraId="3E8363BE" w14:textId="250A9FB9" w:rsidR="001342F7" w:rsidRPr="005C117E" w:rsidRDefault="00264A31" w:rsidP="005C117E">
      <w:pPr>
        <w:spacing w:after="0" w:line="240" w:lineRule="auto"/>
        <w:rPr>
          <w:rFonts w:ascii="Arial" w:eastAsiaTheme="minorEastAsia" w:hAnsi="Arial" w:cs="Arial"/>
          <w:b/>
        </w:rPr>
      </w:pPr>
      <w:r w:rsidRPr="005C117E">
        <w:rPr>
          <w:rFonts w:ascii="Arial" w:eastAsiaTheme="minorEastAsia" w:hAnsi="Arial" w:cs="Arial"/>
          <w:b/>
        </w:rPr>
        <w:t>Capitalising on a period of improved growth</w:t>
      </w:r>
    </w:p>
    <w:p w14:paraId="34E1E62A" w14:textId="29C1BB4C" w:rsidR="00736E73" w:rsidRPr="005C117E" w:rsidRDefault="00B72835" w:rsidP="005C117E">
      <w:pPr>
        <w:spacing w:after="0" w:line="240" w:lineRule="auto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 xml:space="preserve">We know that </w:t>
      </w:r>
      <w:r w:rsidR="00736E73" w:rsidRPr="005C117E">
        <w:rPr>
          <w:rFonts w:ascii="Arial" w:eastAsiaTheme="minorEastAsia" w:hAnsi="Arial" w:cs="Arial"/>
        </w:rPr>
        <w:t xml:space="preserve">Australians are hungry to travel domestically, with more than 402 million nights spent away from home between October 2022 and September 2023, representing a seven per cent year-on-year rise, according to recent data from </w:t>
      </w:r>
      <w:hyperlink r:id="rId14" w:history="1">
        <w:r w:rsidR="00736E73" w:rsidRPr="005C117E">
          <w:rPr>
            <w:rStyle w:val="Hyperlink"/>
            <w:rFonts w:ascii="Arial" w:eastAsiaTheme="minorEastAsia" w:hAnsi="Arial" w:cs="Arial"/>
          </w:rPr>
          <w:t>Tourism Australia</w:t>
        </w:r>
      </w:hyperlink>
      <w:r w:rsidR="00736E73" w:rsidRPr="005C117E">
        <w:rPr>
          <w:rFonts w:ascii="Arial" w:eastAsiaTheme="minorEastAsia" w:hAnsi="Arial" w:cs="Arial"/>
        </w:rPr>
        <w:t>.</w:t>
      </w:r>
    </w:p>
    <w:p w14:paraId="04918E33" w14:textId="77777777" w:rsidR="005C7AF4" w:rsidRPr="005C117E" w:rsidRDefault="005C7AF4" w:rsidP="005C117E">
      <w:pPr>
        <w:spacing w:after="0" w:line="240" w:lineRule="auto"/>
        <w:rPr>
          <w:rFonts w:ascii="Arial" w:eastAsiaTheme="minorEastAsia" w:hAnsi="Arial" w:cs="Arial"/>
        </w:rPr>
      </w:pPr>
    </w:p>
    <w:p w14:paraId="59479AAB" w14:textId="2200EB44" w:rsidR="00736E73" w:rsidRPr="005C117E" w:rsidRDefault="00736E73" w:rsidP="005C117E">
      <w:pPr>
        <w:spacing w:after="0" w:line="240" w:lineRule="auto"/>
        <w:rPr>
          <w:rFonts w:ascii="Arial" w:eastAsiaTheme="minorEastAsia" w:hAnsi="Arial" w:cs="Arial"/>
        </w:rPr>
      </w:pPr>
      <w:r w:rsidRPr="005C117E">
        <w:rPr>
          <w:rFonts w:ascii="Arial" w:eastAsiaTheme="minorEastAsia" w:hAnsi="Arial" w:cs="Arial"/>
        </w:rPr>
        <w:t xml:space="preserve">With more growth expected on the horizon, accommodation </w:t>
      </w:r>
      <w:r w:rsidR="00491D18" w:rsidRPr="005C117E">
        <w:rPr>
          <w:rFonts w:ascii="Arial" w:eastAsiaTheme="minorEastAsia" w:hAnsi="Arial" w:cs="Arial"/>
        </w:rPr>
        <w:t>providers</w:t>
      </w:r>
      <w:r w:rsidR="00CB4198" w:rsidRPr="005C117E">
        <w:rPr>
          <w:rFonts w:ascii="Arial" w:eastAsiaTheme="minorEastAsia" w:hAnsi="Arial" w:cs="Arial"/>
        </w:rPr>
        <w:t xml:space="preserve"> of all sizes</w:t>
      </w:r>
      <w:r w:rsidRPr="005C117E">
        <w:rPr>
          <w:rFonts w:ascii="Arial" w:eastAsiaTheme="minorEastAsia" w:hAnsi="Arial" w:cs="Arial"/>
        </w:rPr>
        <w:t xml:space="preserve"> have an opportunity to build on this momentum by aligning with the evolving </w:t>
      </w:r>
      <w:r w:rsidR="00CB4198" w:rsidRPr="005C117E">
        <w:rPr>
          <w:rFonts w:ascii="Arial" w:eastAsiaTheme="minorEastAsia" w:hAnsi="Arial" w:cs="Arial"/>
        </w:rPr>
        <w:t>desires</w:t>
      </w:r>
      <w:r w:rsidRPr="005C117E">
        <w:rPr>
          <w:rFonts w:ascii="Arial" w:eastAsiaTheme="minorEastAsia" w:hAnsi="Arial" w:cs="Arial"/>
        </w:rPr>
        <w:t xml:space="preserve"> of Australian travellers. </w:t>
      </w:r>
    </w:p>
    <w:p w14:paraId="76BE382D" w14:textId="55D38960" w:rsidR="0030533B" w:rsidRPr="005C117E" w:rsidRDefault="0030533B" w:rsidP="005C117E">
      <w:pPr>
        <w:spacing w:after="0" w:line="240" w:lineRule="auto"/>
        <w:rPr>
          <w:rStyle w:val="ui-provider"/>
          <w:rFonts w:ascii="Arial" w:eastAsiaTheme="minorEastAsia" w:hAnsi="Arial" w:cs="Arial"/>
        </w:rPr>
      </w:pPr>
    </w:p>
    <w:sectPr w:rsidR="0030533B" w:rsidRPr="005C117E" w:rsidSect="005C117E">
      <w:headerReference w:type="default" r:id="rId15"/>
      <w:footerReference w:type="default" r:id="rId16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B376" w14:textId="77777777" w:rsidR="00A84125" w:rsidRDefault="00A84125" w:rsidP="00C551D2">
      <w:pPr>
        <w:spacing w:after="0" w:line="240" w:lineRule="auto"/>
      </w:pPr>
      <w:r>
        <w:separator/>
      </w:r>
    </w:p>
  </w:endnote>
  <w:endnote w:type="continuationSeparator" w:id="0">
    <w:p w14:paraId="3CFAA20B" w14:textId="77777777" w:rsidR="00A84125" w:rsidRDefault="00A84125" w:rsidP="00C5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650216059"/>
      <w:docPartObj>
        <w:docPartGallery w:val="Page Numbers (Bottom of Page)"/>
        <w:docPartUnique/>
      </w:docPartObj>
    </w:sdtPr>
    <w:sdtEndPr>
      <w:rPr>
        <w:b/>
        <w:bCs/>
        <w:noProof/>
        <w:sz w:val="20"/>
        <w:szCs w:val="20"/>
      </w:rPr>
    </w:sdtEndPr>
    <w:sdtContent>
      <w:p w14:paraId="5437738F" w14:textId="69105E69" w:rsidR="00C551D2" w:rsidRPr="005C117E" w:rsidRDefault="005C117E" w:rsidP="005C117E">
        <w:pPr>
          <w:pStyle w:val="Footer"/>
          <w:jc w:val="right"/>
          <w:rPr>
            <w:rFonts w:ascii="Arial" w:hAnsi="Arial" w:cs="Arial"/>
            <w:b/>
            <w:bCs/>
            <w:sz w:val="20"/>
            <w:szCs w:val="20"/>
          </w:rPr>
        </w:pPr>
        <w:r w:rsidRPr="005C117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5C117E">
          <w:rPr>
            <w:rFonts w:ascii="Arial" w:hAnsi="Arial" w:cs="Arial"/>
            <w:b/>
            <w:bCs/>
            <w:sz w:val="20"/>
            <w:szCs w:val="20"/>
          </w:rPr>
          <w:instrText xml:space="preserve"> PAGE   \* MERGEFORMAT </w:instrText>
        </w:r>
        <w:r w:rsidRPr="005C117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5C117E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5C117E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B358" w14:textId="77777777" w:rsidR="00A84125" w:rsidRDefault="00A84125" w:rsidP="00C551D2">
      <w:pPr>
        <w:spacing w:after="0" w:line="240" w:lineRule="auto"/>
      </w:pPr>
      <w:r>
        <w:separator/>
      </w:r>
    </w:p>
  </w:footnote>
  <w:footnote w:type="continuationSeparator" w:id="0">
    <w:p w14:paraId="692FA0B8" w14:textId="77777777" w:rsidR="00A84125" w:rsidRDefault="00A84125" w:rsidP="00C5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DAB5" w14:textId="48F0415B" w:rsidR="00C551D2" w:rsidRDefault="006973F2" w:rsidP="006973F2">
    <w:pPr>
      <w:pStyle w:val="Header"/>
      <w:jc w:val="center"/>
      <w:rPr>
        <w:b/>
        <w:bCs/>
        <w:color w:val="4472C4" w:themeColor="accent1"/>
        <w:sz w:val="28"/>
        <w:szCs w:val="28"/>
        <w:lang w:val="en-US"/>
      </w:rPr>
    </w:pPr>
    <w:r w:rsidRPr="006973F2">
      <w:rPr>
        <w:b/>
        <w:bCs/>
        <w:color w:val="4472C4" w:themeColor="accent1"/>
        <w:sz w:val="28"/>
        <w:szCs w:val="28"/>
        <w:lang w:val="en-US"/>
      </w:rPr>
      <w:t>AMERICAN EXPRESS –</w:t>
    </w:r>
    <w:r w:rsidR="008E2AD7">
      <w:rPr>
        <w:b/>
        <w:bCs/>
        <w:color w:val="4472C4" w:themeColor="accent1"/>
        <w:sz w:val="28"/>
        <w:szCs w:val="28"/>
        <w:lang w:val="en-US"/>
      </w:rPr>
      <w:t xml:space="preserve"> </w:t>
    </w:r>
    <w:r w:rsidRPr="006973F2">
      <w:rPr>
        <w:b/>
        <w:bCs/>
        <w:color w:val="4472C4" w:themeColor="accent1"/>
        <w:sz w:val="28"/>
        <w:szCs w:val="28"/>
        <w:lang w:val="en-US"/>
      </w:rPr>
      <w:t>APRIL ACCOMMODATION AUSTRALIA NEWSLETTER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6438"/>
    <w:multiLevelType w:val="hybridMultilevel"/>
    <w:tmpl w:val="324CEE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1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FA"/>
    <w:rsid w:val="000223FF"/>
    <w:rsid w:val="000435CA"/>
    <w:rsid w:val="00044478"/>
    <w:rsid w:val="00053FF0"/>
    <w:rsid w:val="00054A31"/>
    <w:rsid w:val="0005593D"/>
    <w:rsid w:val="00066495"/>
    <w:rsid w:val="0006705B"/>
    <w:rsid w:val="000676AC"/>
    <w:rsid w:val="00093CF1"/>
    <w:rsid w:val="000A3514"/>
    <w:rsid w:val="000C324F"/>
    <w:rsid w:val="000C579D"/>
    <w:rsid w:val="000E3A80"/>
    <w:rsid w:val="000F52FD"/>
    <w:rsid w:val="001023A7"/>
    <w:rsid w:val="001157C2"/>
    <w:rsid w:val="00120CA3"/>
    <w:rsid w:val="001342F7"/>
    <w:rsid w:val="0016045D"/>
    <w:rsid w:val="0016330C"/>
    <w:rsid w:val="00175CEE"/>
    <w:rsid w:val="001A7198"/>
    <w:rsid w:val="001B5DC8"/>
    <w:rsid w:val="001B672D"/>
    <w:rsid w:val="001D297E"/>
    <w:rsid w:val="001D4CE3"/>
    <w:rsid w:val="001D624A"/>
    <w:rsid w:val="001E7732"/>
    <w:rsid w:val="00224480"/>
    <w:rsid w:val="00230442"/>
    <w:rsid w:val="0023571F"/>
    <w:rsid w:val="00236872"/>
    <w:rsid w:val="00244F44"/>
    <w:rsid w:val="00247437"/>
    <w:rsid w:val="00262BE4"/>
    <w:rsid w:val="00264A31"/>
    <w:rsid w:val="0026630E"/>
    <w:rsid w:val="00292CB8"/>
    <w:rsid w:val="002930B0"/>
    <w:rsid w:val="002A1CCC"/>
    <w:rsid w:val="002A6B3B"/>
    <w:rsid w:val="002A7521"/>
    <w:rsid w:val="002B4F7B"/>
    <w:rsid w:val="002B7EE8"/>
    <w:rsid w:val="002C3BD9"/>
    <w:rsid w:val="002E3E93"/>
    <w:rsid w:val="002F1FAC"/>
    <w:rsid w:val="0030533B"/>
    <w:rsid w:val="00327509"/>
    <w:rsid w:val="00336136"/>
    <w:rsid w:val="00336A93"/>
    <w:rsid w:val="003414B0"/>
    <w:rsid w:val="0034491B"/>
    <w:rsid w:val="003620E6"/>
    <w:rsid w:val="0038502F"/>
    <w:rsid w:val="00391440"/>
    <w:rsid w:val="003968E7"/>
    <w:rsid w:val="003B0B10"/>
    <w:rsid w:val="003C75C5"/>
    <w:rsid w:val="003D0965"/>
    <w:rsid w:val="003D7B31"/>
    <w:rsid w:val="004156D8"/>
    <w:rsid w:val="004174F3"/>
    <w:rsid w:val="0042381D"/>
    <w:rsid w:val="00425A22"/>
    <w:rsid w:val="004371AD"/>
    <w:rsid w:val="00477436"/>
    <w:rsid w:val="00491D18"/>
    <w:rsid w:val="004A4DBA"/>
    <w:rsid w:val="004F5324"/>
    <w:rsid w:val="00532CE9"/>
    <w:rsid w:val="005467B3"/>
    <w:rsid w:val="005543BC"/>
    <w:rsid w:val="00566420"/>
    <w:rsid w:val="00580F1E"/>
    <w:rsid w:val="005A066F"/>
    <w:rsid w:val="005B5CC4"/>
    <w:rsid w:val="005C117E"/>
    <w:rsid w:val="005C5CAD"/>
    <w:rsid w:val="005C65CE"/>
    <w:rsid w:val="005C7AF4"/>
    <w:rsid w:val="00601EDC"/>
    <w:rsid w:val="00610B84"/>
    <w:rsid w:val="00630F78"/>
    <w:rsid w:val="00634B9B"/>
    <w:rsid w:val="006623B5"/>
    <w:rsid w:val="00667BB4"/>
    <w:rsid w:val="00693410"/>
    <w:rsid w:val="006973F2"/>
    <w:rsid w:val="006A19BE"/>
    <w:rsid w:val="006A45F7"/>
    <w:rsid w:val="006A68D9"/>
    <w:rsid w:val="006C4644"/>
    <w:rsid w:val="006D15AF"/>
    <w:rsid w:val="006D61A5"/>
    <w:rsid w:val="006E4EB8"/>
    <w:rsid w:val="006E5591"/>
    <w:rsid w:val="007056AD"/>
    <w:rsid w:val="00720228"/>
    <w:rsid w:val="007229CA"/>
    <w:rsid w:val="00725499"/>
    <w:rsid w:val="007265D8"/>
    <w:rsid w:val="00736E73"/>
    <w:rsid w:val="0075645C"/>
    <w:rsid w:val="00762943"/>
    <w:rsid w:val="00762956"/>
    <w:rsid w:val="00766863"/>
    <w:rsid w:val="00773257"/>
    <w:rsid w:val="00774EE1"/>
    <w:rsid w:val="007763C9"/>
    <w:rsid w:val="007800DE"/>
    <w:rsid w:val="007813B6"/>
    <w:rsid w:val="00795FB6"/>
    <w:rsid w:val="007B7E5D"/>
    <w:rsid w:val="007C618D"/>
    <w:rsid w:val="007F0B75"/>
    <w:rsid w:val="007F19F5"/>
    <w:rsid w:val="007F678F"/>
    <w:rsid w:val="007F74C0"/>
    <w:rsid w:val="0080347C"/>
    <w:rsid w:val="00837CDD"/>
    <w:rsid w:val="008448F2"/>
    <w:rsid w:val="00855601"/>
    <w:rsid w:val="00877B81"/>
    <w:rsid w:val="00885B5D"/>
    <w:rsid w:val="00885E1C"/>
    <w:rsid w:val="00895DB8"/>
    <w:rsid w:val="008A684A"/>
    <w:rsid w:val="008C6332"/>
    <w:rsid w:val="008E2AD7"/>
    <w:rsid w:val="008E53B2"/>
    <w:rsid w:val="008E7E24"/>
    <w:rsid w:val="008F41F4"/>
    <w:rsid w:val="00910803"/>
    <w:rsid w:val="00947DF1"/>
    <w:rsid w:val="009523C8"/>
    <w:rsid w:val="009673C2"/>
    <w:rsid w:val="00987362"/>
    <w:rsid w:val="00990EFA"/>
    <w:rsid w:val="009954A2"/>
    <w:rsid w:val="009C5352"/>
    <w:rsid w:val="009D3160"/>
    <w:rsid w:val="009D6762"/>
    <w:rsid w:val="00A07F9D"/>
    <w:rsid w:val="00A2354C"/>
    <w:rsid w:val="00A33FE5"/>
    <w:rsid w:val="00A402A2"/>
    <w:rsid w:val="00A50D60"/>
    <w:rsid w:val="00A52C42"/>
    <w:rsid w:val="00A534CD"/>
    <w:rsid w:val="00A56354"/>
    <w:rsid w:val="00A63DB4"/>
    <w:rsid w:val="00A65524"/>
    <w:rsid w:val="00A66412"/>
    <w:rsid w:val="00A70191"/>
    <w:rsid w:val="00A827F1"/>
    <w:rsid w:val="00A84125"/>
    <w:rsid w:val="00A92733"/>
    <w:rsid w:val="00A947E0"/>
    <w:rsid w:val="00AA459A"/>
    <w:rsid w:val="00AC3B7F"/>
    <w:rsid w:val="00AE304D"/>
    <w:rsid w:val="00AE759F"/>
    <w:rsid w:val="00AE7998"/>
    <w:rsid w:val="00AF761A"/>
    <w:rsid w:val="00B01F53"/>
    <w:rsid w:val="00B173A0"/>
    <w:rsid w:val="00B24F9D"/>
    <w:rsid w:val="00B45EDE"/>
    <w:rsid w:val="00B54DFC"/>
    <w:rsid w:val="00B626A1"/>
    <w:rsid w:val="00B652D9"/>
    <w:rsid w:val="00B72835"/>
    <w:rsid w:val="00B876D5"/>
    <w:rsid w:val="00B958EB"/>
    <w:rsid w:val="00BA0347"/>
    <w:rsid w:val="00BC7AEE"/>
    <w:rsid w:val="00BD1C3C"/>
    <w:rsid w:val="00BD418F"/>
    <w:rsid w:val="00BF0C92"/>
    <w:rsid w:val="00BF187C"/>
    <w:rsid w:val="00C033FB"/>
    <w:rsid w:val="00C076E6"/>
    <w:rsid w:val="00C43516"/>
    <w:rsid w:val="00C44483"/>
    <w:rsid w:val="00C515D5"/>
    <w:rsid w:val="00C551D2"/>
    <w:rsid w:val="00C722C5"/>
    <w:rsid w:val="00C8109C"/>
    <w:rsid w:val="00CA67A7"/>
    <w:rsid w:val="00CB118F"/>
    <w:rsid w:val="00CB4198"/>
    <w:rsid w:val="00CD61F8"/>
    <w:rsid w:val="00D0383D"/>
    <w:rsid w:val="00D10755"/>
    <w:rsid w:val="00D22285"/>
    <w:rsid w:val="00D27A65"/>
    <w:rsid w:val="00D52363"/>
    <w:rsid w:val="00D568EA"/>
    <w:rsid w:val="00D967C6"/>
    <w:rsid w:val="00D972FF"/>
    <w:rsid w:val="00DA5C96"/>
    <w:rsid w:val="00DA6B16"/>
    <w:rsid w:val="00DB7393"/>
    <w:rsid w:val="00DC4921"/>
    <w:rsid w:val="00DD308B"/>
    <w:rsid w:val="00DE3A94"/>
    <w:rsid w:val="00DF7712"/>
    <w:rsid w:val="00E034BF"/>
    <w:rsid w:val="00E04362"/>
    <w:rsid w:val="00E12F48"/>
    <w:rsid w:val="00E534A7"/>
    <w:rsid w:val="00E557F8"/>
    <w:rsid w:val="00E7714F"/>
    <w:rsid w:val="00E8136D"/>
    <w:rsid w:val="00E8210F"/>
    <w:rsid w:val="00E9069C"/>
    <w:rsid w:val="00E91254"/>
    <w:rsid w:val="00E95560"/>
    <w:rsid w:val="00EA4029"/>
    <w:rsid w:val="00EC2C1D"/>
    <w:rsid w:val="00EC5306"/>
    <w:rsid w:val="00ED164E"/>
    <w:rsid w:val="00ED27D7"/>
    <w:rsid w:val="00ED6210"/>
    <w:rsid w:val="00EF2DC8"/>
    <w:rsid w:val="00F173C7"/>
    <w:rsid w:val="00F30517"/>
    <w:rsid w:val="00F60E07"/>
    <w:rsid w:val="00F72EA2"/>
    <w:rsid w:val="00F7479D"/>
    <w:rsid w:val="00F76FDE"/>
    <w:rsid w:val="00F821A6"/>
    <w:rsid w:val="00F975CA"/>
    <w:rsid w:val="00FA1278"/>
    <w:rsid w:val="00FA52A5"/>
    <w:rsid w:val="00FB5185"/>
    <w:rsid w:val="00FC4E6F"/>
    <w:rsid w:val="02D6D3C6"/>
    <w:rsid w:val="039CCEEE"/>
    <w:rsid w:val="0400B638"/>
    <w:rsid w:val="0446AE57"/>
    <w:rsid w:val="05E81154"/>
    <w:rsid w:val="090ADCE1"/>
    <w:rsid w:val="0B3F4641"/>
    <w:rsid w:val="0DBE026A"/>
    <w:rsid w:val="0E80AB33"/>
    <w:rsid w:val="1189C8FA"/>
    <w:rsid w:val="118DA4B3"/>
    <w:rsid w:val="122E1FA5"/>
    <w:rsid w:val="1433924A"/>
    <w:rsid w:val="1786A838"/>
    <w:rsid w:val="179343F3"/>
    <w:rsid w:val="1C6C11EB"/>
    <w:rsid w:val="2135F9EF"/>
    <w:rsid w:val="24F1379D"/>
    <w:rsid w:val="26127C06"/>
    <w:rsid w:val="261B138D"/>
    <w:rsid w:val="2D5B0241"/>
    <w:rsid w:val="2DFF1C3D"/>
    <w:rsid w:val="2E98A6C3"/>
    <w:rsid w:val="2FA2A753"/>
    <w:rsid w:val="33BDC0BD"/>
    <w:rsid w:val="363F7DD1"/>
    <w:rsid w:val="36AA4221"/>
    <w:rsid w:val="3A9F66EC"/>
    <w:rsid w:val="3B665E33"/>
    <w:rsid w:val="3C168C8C"/>
    <w:rsid w:val="3DF64B96"/>
    <w:rsid w:val="3EC29FB2"/>
    <w:rsid w:val="409494A3"/>
    <w:rsid w:val="41A07841"/>
    <w:rsid w:val="43703690"/>
    <w:rsid w:val="446C5A98"/>
    <w:rsid w:val="4767F89B"/>
    <w:rsid w:val="477DAC8B"/>
    <w:rsid w:val="496D2994"/>
    <w:rsid w:val="4D1E3C13"/>
    <w:rsid w:val="4D7A94F7"/>
    <w:rsid w:val="4DD65663"/>
    <w:rsid w:val="51513244"/>
    <w:rsid w:val="51701C1D"/>
    <w:rsid w:val="52728A31"/>
    <w:rsid w:val="52AF939A"/>
    <w:rsid w:val="56076D1E"/>
    <w:rsid w:val="57A5DB76"/>
    <w:rsid w:val="5C8507F4"/>
    <w:rsid w:val="5E17B147"/>
    <w:rsid w:val="5F869172"/>
    <w:rsid w:val="60CDC0F0"/>
    <w:rsid w:val="633FF36A"/>
    <w:rsid w:val="65EC775E"/>
    <w:rsid w:val="6C17322D"/>
    <w:rsid w:val="6DC0E366"/>
    <w:rsid w:val="70CC1E1E"/>
    <w:rsid w:val="71C0D298"/>
    <w:rsid w:val="75C4A038"/>
    <w:rsid w:val="75CDEE84"/>
    <w:rsid w:val="7919FBE3"/>
    <w:rsid w:val="7A94DC81"/>
    <w:rsid w:val="7E6FA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3FB8"/>
  <w15:chartTrackingRefBased/>
  <w15:docId w15:val="{CC38C09D-B758-4116-A86D-CB906014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3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2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C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95560"/>
    <w:pPr>
      <w:ind w:left="720"/>
      <w:contextualSpacing/>
    </w:pPr>
  </w:style>
  <w:style w:type="character" w:customStyle="1" w:styleId="ui-provider">
    <w:name w:val="ui-provider"/>
    <w:basedOn w:val="DefaultParagraphFont"/>
    <w:rsid w:val="00CA67A7"/>
  </w:style>
  <w:style w:type="paragraph" w:customStyle="1" w:styleId="paragraph">
    <w:name w:val="paragraph"/>
    <w:basedOn w:val="Normal"/>
    <w:rsid w:val="001D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D297E"/>
  </w:style>
  <w:style w:type="character" w:customStyle="1" w:styleId="eop">
    <w:name w:val="eop"/>
    <w:basedOn w:val="DefaultParagraphFont"/>
    <w:rsid w:val="001D297E"/>
  </w:style>
  <w:style w:type="paragraph" w:styleId="Header">
    <w:name w:val="header"/>
    <w:basedOn w:val="Normal"/>
    <w:link w:val="HeaderChar"/>
    <w:uiPriority w:val="99"/>
    <w:unhideWhenUsed/>
    <w:rsid w:val="00C55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1D2"/>
  </w:style>
  <w:style w:type="paragraph" w:styleId="Footer">
    <w:name w:val="footer"/>
    <w:basedOn w:val="Normal"/>
    <w:link w:val="FooterChar"/>
    <w:uiPriority w:val="99"/>
    <w:unhideWhenUsed/>
    <w:rsid w:val="00C55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1D2"/>
  </w:style>
  <w:style w:type="paragraph" w:styleId="Revision">
    <w:name w:val="Revision"/>
    <w:hidden/>
    <w:uiPriority w:val="99"/>
    <w:semiHidden/>
    <w:rsid w:val="00C55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bc.net.au/news/2024-02-20/sydney-taylor-swift-eras-concert-fills-hotels/10348347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spitalitynet.org/news/412088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ericanexpress.com/en-us/newsroom/articles/travel-and-dining/global-travel-trends-au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ourism.australia.com/en/insights/tourism-statistics/domestic-market-performace-statisti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4128D75D250469DB3D749AFB41995" ma:contentTypeVersion="32" ma:contentTypeDescription="Create a new document." ma:contentTypeScope="" ma:versionID="5d14f29df0b996c59c6149573b6df694">
  <xsd:schema xmlns:xsd="http://www.w3.org/2001/XMLSchema" xmlns:xs="http://www.w3.org/2001/XMLSchema" xmlns:p="http://schemas.microsoft.com/office/2006/metadata/properties" xmlns:ns1="http://schemas.microsoft.com/sharepoint/v3" xmlns:ns2="570bb9eb-b9cb-4820-9db3-9f88b7520276" xmlns:ns3="3cfe6369-6e13-4e9a-beef-d847b38e080a" xmlns:ns4="cc744cbb-9b7c-4d39-9839-576088db7f6b" xmlns:ns5="102b7dbd-533a-4e68-ae10-c0e4aaa2bc66" targetNamespace="http://schemas.microsoft.com/office/2006/metadata/properties" ma:root="true" ma:fieldsID="95357a21fc4df93c055b27964274a9e5" ns1:_="" ns2:_="" ns3:_="" ns4:_="" ns5:_="">
    <xsd:import namespace="http://schemas.microsoft.com/sharepoint/v3"/>
    <xsd:import namespace="570bb9eb-b9cb-4820-9db3-9f88b7520276"/>
    <xsd:import namespace="3cfe6369-6e13-4e9a-beef-d847b38e080a"/>
    <xsd:import namespace="cc744cbb-9b7c-4d39-9839-576088db7f6b"/>
    <xsd:import namespace="102b7dbd-533a-4e68-ae10-c0e4aaa2b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SELECTS" minOccurs="0"/>
                <xsd:element ref="ns4:lcf76f155ced4ddcb4097134ff3c332f" minOccurs="0"/>
                <xsd:element ref="ns2:MediaServiceObjectDetectorVersions" minOccurs="0"/>
                <xsd:element ref="ns5:TaxCatchAl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b9eb-b9cb-4820-9db3-9f88b7520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ELECTS" ma:index="23" nillable="true" ma:displayName="SELECTS" ma:format="Dropdown" ma:internalName="SELECT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e6369-6e13-4e9a-beef-d847b38e0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44cbb-9b7c-4d39-9839-576088db7f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23d344c-9e5d-4dd2-9612-f746068d8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b7dbd-533a-4e68-ae10-c0e4aaa2bc66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7e988e-6eef-4871-afff-69874380358f}" ma:internalName="TaxCatchAll" ma:showField="CatchAllData" ma:web="102b7dbd-533a-4e68-ae10-c0e4aaa2b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c744cbb-9b7c-4d39-9839-576088db7f6b">
      <Terms xmlns="http://schemas.microsoft.com/office/infopath/2007/PartnerControls"/>
    </lcf76f155ced4ddcb4097134ff3c332f>
    <TaxCatchAll xmlns="102b7dbd-533a-4e68-ae10-c0e4aaa2bc66" xsi:nil="true"/>
    <_ip_UnifiedCompliancePolicyProperties xmlns="http://schemas.microsoft.com/sharepoint/v3" xsi:nil="true"/>
    <SELECTS xmlns="570bb9eb-b9cb-4820-9db3-9f88b7520276" xsi:nil="true"/>
  </documentManagement>
</p:properties>
</file>

<file path=customXml/itemProps1.xml><?xml version="1.0" encoding="utf-8"?>
<ds:datastoreItem xmlns:ds="http://schemas.openxmlformats.org/officeDocument/2006/customXml" ds:itemID="{B33D687F-3F40-4002-85CA-EBD84A23F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0bb9eb-b9cb-4820-9db3-9f88b7520276"/>
    <ds:schemaRef ds:uri="3cfe6369-6e13-4e9a-beef-d847b38e080a"/>
    <ds:schemaRef ds:uri="cc744cbb-9b7c-4d39-9839-576088db7f6b"/>
    <ds:schemaRef ds:uri="102b7dbd-533a-4e68-ae10-c0e4aaa2b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8EF71-0BA9-4927-BDAA-B1D0E2E57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D8859-A56B-4B03-B1B1-ADEE091EB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744cbb-9b7c-4d39-9839-576088db7f6b"/>
    <ds:schemaRef ds:uri="102b7dbd-533a-4e68-ae10-c0e4aaa2bc66"/>
    <ds:schemaRef ds:uri="570bb9eb-b9cb-4820-9db3-9f88b7520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WPP</Company>
  <LinksUpToDate>false</LinksUpToDate>
  <CharactersWithSpaces>4434</CharactersWithSpaces>
  <SharedDoc>false</SharedDoc>
  <HLinks>
    <vt:vector size="30" baseType="variant">
      <vt:variant>
        <vt:i4>7733284</vt:i4>
      </vt:variant>
      <vt:variant>
        <vt:i4>12</vt:i4>
      </vt:variant>
      <vt:variant>
        <vt:i4>0</vt:i4>
      </vt:variant>
      <vt:variant>
        <vt:i4>5</vt:i4>
      </vt:variant>
      <vt:variant>
        <vt:lpwstr>https://www.abc.net.au/news/2024-02-20/sydney-taylor-swift-eras-concert-fills-hotels/103483478</vt:lpwstr>
      </vt:variant>
      <vt:variant>
        <vt:lpwstr/>
      </vt:variant>
      <vt:variant>
        <vt:i4>1048651</vt:i4>
      </vt:variant>
      <vt:variant>
        <vt:i4>9</vt:i4>
      </vt:variant>
      <vt:variant>
        <vt:i4>0</vt:i4>
      </vt:variant>
      <vt:variant>
        <vt:i4>5</vt:i4>
      </vt:variant>
      <vt:variant>
        <vt:lpwstr>https://www.hospitalitynet.org/news/4120883.html</vt:lpwstr>
      </vt:variant>
      <vt:variant>
        <vt:lpwstr/>
      </vt:variant>
      <vt:variant>
        <vt:i4>4587612</vt:i4>
      </vt:variant>
      <vt:variant>
        <vt:i4>6</vt:i4>
      </vt:variant>
      <vt:variant>
        <vt:i4>0</vt:i4>
      </vt:variant>
      <vt:variant>
        <vt:i4>5</vt:i4>
      </vt:variant>
      <vt:variant>
        <vt:lpwstr>https://www.hotelmanagement-network.com/news/australia-hotel-business-travel-improvement/</vt:lpwstr>
      </vt:variant>
      <vt:variant>
        <vt:lpwstr/>
      </vt:variant>
      <vt:variant>
        <vt:i4>7274559</vt:i4>
      </vt:variant>
      <vt:variant>
        <vt:i4>3</vt:i4>
      </vt:variant>
      <vt:variant>
        <vt:i4>0</vt:i4>
      </vt:variant>
      <vt:variant>
        <vt:i4>5</vt:i4>
      </vt:variant>
      <vt:variant>
        <vt:lpwstr>https://www.tourism.australia.com/en/insights/tourism-statistics/domestic-market-performace-statistics.html</vt:lpwstr>
      </vt:variant>
      <vt:variant>
        <vt:lpwstr/>
      </vt:variant>
      <vt:variant>
        <vt:i4>6946931</vt:i4>
      </vt:variant>
      <vt:variant>
        <vt:i4>0</vt:i4>
      </vt:variant>
      <vt:variant>
        <vt:i4>0</vt:i4>
      </vt:variant>
      <vt:variant>
        <vt:i4>5</vt:i4>
      </vt:variant>
      <vt:variant>
        <vt:lpwstr>https://accommodationaustralia.org/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Martlew</dc:creator>
  <cp:keywords/>
  <dc:description/>
  <cp:lastModifiedBy>Lorelle Gottardi</cp:lastModifiedBy>
  <cp:revision>3</cp:revision>
  <dcterms:created xsi:type="dcterms:W3CDTF">2024-04-22T02:20:00Z</dcterms:created>
  <dcterms:modified xsi:type="dcterms:W3CDTF">2024-04-22T02:26:00Z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0x010100FA64128D75D250469DB3D749AFB41995</vt:lpwstr>
  </property>
  <property fmtid="{D5CDD505-2E9C-101B-9397-08002B2CF9AE}" pid="3" name="MediaServiceImageTags">
    <vt:lpwstr/>
  </property>
  <property fmtid="{D5CDD505-2E9C-101B-9397-08002B2CF9AE}" pid="4" name="AXPAuthor">
    <vt:lpwstr>Imogen Brennan</vt:lpwstr>
  </property>
  <property fmtid="{D5CDD505-2E9C-101B-9397-08002B2CF9AE}" pid="5" name="AXPDataClassification">
    <vt:lpwstr>AXP Internal</vt:lpwstr>
  </property>
  <property fmtid="{D5CDD505-2E9C-101B-9397-08002B2CF9AE}" pid="6" name="AXPDataClassificationForSearch">
    <vt:lpwstr>AXPInternal_UniqueSearchString</vt:lpwstr>
  </property>
</Properties>
</file>