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47046" w14:textId="795ECA41" w:rsidR="000824B5" w:rsidRPr="000824B5" w:rsidRDefault="000824B5" w:rsidP="00C60B22">
      <w:pPr>
        <w:pStyle w:val="NormalWeb"/>
        <w:rPr>
          <w:rFonts w:asciiTheme="minorHAnsi" w:eastAsiaTheme="minorHAnsi" w:hAnsiTheme="minorHAnsi" w:cstheme="minorBidi"/>
          <w:kern w:val="2"/>
          <w:sz w:val="28"/>
          <w:szCs w:val="28"/>
          <w14:ligatures w14:val="standardContextual"/>
        </w:rPr>
      </w:pPr>
      <w:r w:rsidRPr="000824B5">
        <w:rPr>
          <w:rFonts w:asciiTheme="minorHAnsi" w:eastAsiaTheme="minorHAnsi" w:hAnsiTheme="minorHAnsi" w:cstheme="minorBidi"/>
          <w:kern w:val="2"/>
          <w:sz w:val="28"/>
          <w:szCs w:val="28"/>
          <w14:ligatures w14:val="standardContextual"/>
        </w:rPr>
        <w:t xml:space="preserve">OSHA Injury &amp; Illness Recordkeeping  </w:t>
      </w:r>
    </w:p>
    <w:p w14:paraId="055E2BED" w14:textId="551C69D8" w:rsidR="000824B5" w:rsidRDefault="000824B5" w:rsidP="00C60B22">
      <w:pPr>
        <w:pStyle w:val="NormalWeb"/>
        <w:rPr>
          <w:rFonts w:asciiTheme="minorHAnsi" w:eastAsiaTheme="minorHAnsi" w:hAnsiTheme="minorHAnsi" w:cstheme="minorBidi"/>
          <w:kern w:val="2"/>
          <w:sz w:val="22"/>
          <w:szCs w:val="22"/>
          <w14:ligatures w14:val="standardContextual"/>
        </w:rPr>
      </w:pPr>
      <w:r>
        <w:rPr>
          <w:noProof/>
        </w:rPr>
        <w:drawing>
          <wp:inline distT="0" distB="0" distL="0" distR="0" wp14:anchorId="3E15780F" wp14:editId="6F46B13C">
            <wp:extent cx="1245555" cy="778328"/>
            <wp:effectExtent l="0" t="0" r="0" b="3175"/>
            <wp:docPr id="2" name="Picture 1" descr="A Facility Manager's Guide to the OSHA 300A Form - Frontier Fir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Facility Manager's Guide to the OSHA 300A Form - Frontier Fire Protectio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55933" cy="784813"/>
                    </a:xfrm>
                    <a:prstGeom prst="rect">
                      <a:avLst/>
                    </a:prstGeom>
                    <a:noFill/>
                    <a:ln>
                      <a:noFill/>
                    </a:ln>
                  </pic:spPr>
                </pic:pic>
              </a:graphicData>
            </a:graphic>
          </wp:inline>
        </w:drawing>
      </w:r>
    </w:p>
    <w:p w14:paraId="2B583AD3" w14:textId="3B63F942" w:rsidR="00C60B22" w:rsidRPr="00C60B22" w:rsidRDefault="009528DF" w:rsidP="00C60B22">
      <w:pPr>
        <w:pStyle w:val="NormalWeb"/>
        <w:rPr>
          <w:rFonts w:asciiTheme="minorHAnsi" w:eastAsiaTheme="minorHAnsi" w:hAnsiTheme="minorHAnsi" w:cstheme="minorBidi"/>
          <w:kern w:val="2"/>
          <w:sz w:val="22"/>
          <w:szCs w:val="22"/>
          <w14:ligatures w14:val="standardContextual"/>
        </w:rPr>
      </w:pPr>
      <w:r>
        <w:rPr>
          <w:rFonts w:asciiTheme="minorHAnsi" w:eastAsiaTheme="minorHAnsi" w:hAnsiTheme="minorHAnsi" w:cstheme="minorBidi"/>
          <w:kern w:val="2"/>
          <w:sz w:val="22"/>
          <w:szCs w:val="22"/>
          <w14:ligatures w14:val="standardContextual"/>
        </w:rPr>
        <w:t xml:space="preserve">Builders </w:t>
      </w:r>
      <w:r w:rsidRPr="009528DF">
        <w:rPr>
          <w:rFonts w:asciiTheme="minorHAnsi" w:eastAsiaTheme="minorHAnsi" w:hAnsiTheme="minorHAnsi" w:cstheme="minorBidi"/>
          <w:kern w:val="2"/>
          <w:sz w:val="22"/>
          <w:szCs w:val="22"/>
          <w14:ligatures w14:val="standardContextual"/>
        </w:rPr>
        <w:t xml:space="preserve">with 100 or more employees in certain high-hazard industries </w:t>
      </w:r>
      <w:r w:rsidR="00C60B22" w:rsidRPr="00C60B22">
        <w:rPr>
          <w:rFonts w:asciiTheme="minorHAnsi" w:eastAsiaTheme="minorHAnsi" w:hAnsiTheme="minorHAnsi" w:cstheme="minorBidi"/>
          <w:kern w:val="2"/>
          <w:sz w:val="22"/>
          <w:szCs w:val="22"/>
          <w14:ligatures w14:val="standardContextual"/>
        </w:rPr>
        <w:t>are facing pivotal changes in their record-keeping practices in 2024, particularly concerning OSHA 300 and 301 logs. These updates, mandated by the Occupational Safety and Health Administration (OSHA), bring forth crucial adjustments that demand the attention and compliance of larger construction enterprises.</w:t>
      </w:r>
    </w:p>
    <w:p w14:paraId="72D56F84" w14:textId="35204DDE" w:rsidR="00C60B22" w:rsidRPr="00C60B22" w:rsidRDefault="00C60B22" w:rsidP="00C60B22">
      <w:pPr>
        <w:pStyle w:val="NormalWeb"/>
        <w:rPr>
          <w:rFonts w:asciiTheme="minorHAnsi" w:eastAsiaTheme="minorHAnsi" w:hAnsiTheme="minorHAnsi" w:cstheme="minorBidi"/>
          <w:kern w:val="2"/>
          <w:sz w:val="22"/>
          <w:szCs w:val="22"/>
          <w14:ligatures w14:val="standardContextual"/>
        </w:rPr>
      </w:pPr>
      <w:r w:rsidRPr="00C60B22">
        <w:rPr>
          <w:rFonts w:asciiTheme="minorHAnsi" w:eastAsiaTheme="minorHAnsi" w:hAnsiTheme="minorHAnsi" w:cstheme="minorBidi"/>
          <w:kern w:val="2"/>
          <w:sz w:val="22"/>
          <w:szCs w:val="22"/>
          <w14:ligatures w14:val="standardContextual"/>
        </w:rPr>
        <w:t xml:space="preserve">One significant aspect of the 2024 OSHA 300 and 301 updates is the requirement for </w:t>
      </w:r>
      <w:r w:rsidR="009528DF">
        <w:rPr>
          <w:rFonts w:asciiTheme="minorHAnsi" w:eastAsiaTheme="minorHAnsi" w:hAnsiTheme="minorHAnsi" w:cstheme="minorBidi"/>
          <w:kern w:val="2"/>
          <w:sz w:val="22"/>
          <w:szCs w:val="22"/>
          <w14:ligatures w14:val="standardContextual"/>
        </w:rPr>
        <w:t>yearly</w:t>
      </w:r>
      <w:r w:rsidRPr="00C60B22">
        <w:rPr>
          <w:rFonts w:asciiTheme="minorHAnsi" w:eastAsiaTheme="minorHAnsi" w:hAnsiTheme="minorHAnsi" w:cstheme="minorBidi"/>
          <w:kern w:val="2"/>
          <w:sz w:val="22"/>
          <w:szCs w:val="22"/>
          <w14:ligatures w14:val="standardContextual"/>
        </w:rPr>
        <w:t xml:space="preserve"> electronic submissions for establishments</w:t>
      </w:r>
      <w:r>
        <w:rPr>
          <w:rFonts w:asciiTheme="minorHAnsi" w:eastAsiaTheme="minorHAnsi" w:hAnsiTheme="minorHAnsi" w:cstheme="minorBidi"/>
          <w:kern w:val="2"/>
          <w:sz w:val="22"/>
          <w:szCs w:val="22"/>
          <w14:ligatures w14:val="standardContextual"/>
        </w:rPr>
        <w:t>.</w:t>
      </w:r>
      <w:r w:rsidRPr="00C60B22">
        <w:rPr>
          <w:rFonts w:asciiTheme="minorHAnsi" w:eastAsiaTheme="minorHAnsi" w:hAnsiTheme="minorHAnsi" w:cstheme="minorBidi"/>
          <w:kern w:val="2"/>
          <w:sz w:val="22"/>
          <w:szCs w:val="22"/>
          <w14:ligatures w14:val="standardContextual"/>
        </w:rPr>
        <w:t xml:space="preserve"> This shift aims to enhance the efficiency and timeliness of incident reporting, allowing OSHA to promptly assess workplace safety and address potential concerns. Builders </w:t>
      </w:r>
      <w:r w:rsidR="004219CA">
        <w:rPr>
          <w:rFonts w:asciiTheme="minorHAnsi" w:eastAsiaTheme="minorHAnsi" w:hAnsiTheme="minorHAnsi" w:cstheme="minorBidi"/>
          <w:kern w:val="2"/>
          <w:sz w:val="22"/>
          <w:szCs w:val="22"/>
          <w14:ligatures w14:val="standardContextual"/>
        </w:rPr>
        <w:t xml:space="preserve">can look up </w:t>
      </w:r>
      <w:r w:rsidR="004219CA" w:rsidRPr="004219CA">
        <w:rPr>
          <w:rFonts w:asciiTheme="minorHAnsi" w:eastAsiaTheme="minorHAnsi" w:hAnsiTheme="minorHAnsi" w:cstheme="minorBidi"/>
          <w:kern w:val="2"/>
          <w:sz w:val="22"/>
          <w:szCs w:val="22"/>
          <w14:ligatures w14:val="standardContextual"/>
        </w:rPr>
        <w:t>NAICS</w:t>
      </w:r>
      <w:r w:rsidR="004219CA">
        <w:rPr>
          <w:rFonts w:asciiTheme="minorHAnsi" w:eastAsiaTheme="minorHAnsi" w:hAnsiTheme="minorHAnsi" w:cstheme="minorBidi"/>
          <w:kern w:val="2"/>
          <w:sz w:val="22"/>
          <w:szCs w:val="22"/>
          <w14:ligatures w14:val="standardContextual"/>
        </w:rPr>
        <w:t xml:space="preserve"> Codes to see if they fall into this category. </w:t>
      </w:r>
    </w:p>
    <w:p w14:paraId="01240402" w14:textId="0479BB10" w:rsidR="00C60B22" w:rsidRPr="00C60B22" w:rsidRDefault="002A065F" w:rsidP="00C60B22">
      <w:pPr>
        <w:pStyle w:val="NormalWeb"/>
        <w:rPr>
          <w:rFonts w:asciiTheme="minorHAnsi" w:eastAsiaTheme="minorHAnsi" w:hAnsiTheme="minorHAnsi" w:cstheme="minorBidi"/>
          <w:kern w:val="2"/>
          <w:sz w:val="22"/>
          <w:szCs w:val="22"/>
          <w14:ligatures w14:val="standardContextual"/>
        </w:rPr>
      </w:pPr>
      <w:r>
        <w:rPr>
          <w:rFonts w:asciiTheme="minorHAnsi" w:eastAsiaTheme="minorHAnsi" w:hAnsiTheme="minorHAnsi" w:cstheme="minorBidi"/>
          <w:kern w:val="2"/>
          <w:sz w:val="22"/>
          <w:szCs w:val="22"/>
          <w14:ligatures w14:val="standardContextual"/>
        </w:rPr>
        <w:t>T</w:t>
      </w:r>
      <w:r w:rsidR="00C60B22" w:rsidRPr="00C60B22">
        <w:rPr>
          <w:rFonts w:asciiTheme="minorHAnsi" w:eastAsiaTheme="minorHAnsi" w:hAnsiTheme="minorHAnsi" w:cstheme="minorBidi"/>
          <w:kern w:val="2"/>
          <w:sz w:val="22"/>
          <w:szCs w:val="22"/>
          <w14:ligatures w14:val="standardContextual"/>
        </w:rPr>
        <w:t>he revised regulations place a heightened emphasis on the thoroughness and accuracy of incident descriptions in the OSHA 301 log. Builders are now required to provide detailed narratives of each recordable injury or illness, offering a comprehensive account of the circumstances surrounding the incident. This nuanced approach provides OSHA with a deeper understanding of the events, enabling more effective analysis and targeted interventions to improve safety measures.</w:t>
      </w:r>
    </w:p>
    <w:p w14:paraId="5DBA6750" w14:textId="2630DA83" w:rsidR="00C60B22" w:rsidRPr="00C60B22" w:rsidRDefault="00C60B22" w:rsidP="00C60B22">
      <w:pPr>
        <w:pStyle w:val="NormalWeb"/>
        <w:rPr>
          <w:rFonts w:asciiTheme="minorHAnsi" w:eastAsiaTheme="minorHAnsi" w:hAnsiTheme="minorHAnsi" w:cstheme="minorBidi"/>
          <w:kern w:val="2"/>
          <w:sz w:val="22"/>
          <w:szCs w:val="22"/>
          <w14:ligatures w14:val="standardContextual"/>
        </w:rPr>
      </w:pPr>
      <w:r w:rsidRPr="00C60B22">
        <w:rPr>
          <w:rFonts w:asciiTheme="minorHAnsi" w:eastAsiaTheme="minorHAnsi" w:hAnsiTheme="minorHAnsi" w:cstheme="minorBidi"/>
          <w:kern w:val="2"/>
          <w:sz w:val="22"/>
          <w:szCs w:val="22"/>
          <w14:ligatures w14:val="standardContextual"/>
        </w:rPr>
        <w:t>In line with these changes, builders must prioritize training programs that educate staff on the intricacies of the updated OSHA 300 and 301 requirements. These programs should focus on the importance of accurate and detailed incident reporting, emphasizing the role employees play in contributing to a safer workplace. By fostering a culture of transparency and responsibility, larger construction enterprises can navigate these regulatory changes with confidence.</w:t>
      </w:r>
    </w:p>
    <w:p w14:paraId="531A56CF" w14:textId="3B9E7750" w:rsidR="00C60B22" w:rsidRPr="00C60B22" w:rsidRDefault="00C60B22" w:rsidP="00C60B22">
      <w:pPr>
        <w:pStyle w:val="NormalWeb"/>
        <w:rPr>
          <w:rFonts w:asciiTheme="minorHAnsi" w:eastAsiaTheme="minorHAnsi" w:hAnsiTheme="minorHAnsi" w:cstheme="minorBidi"/>
          <w:kern w:val="2"/>
          <w:sz w:val="22"/>
          <w:szCs w:val="22"/>
          <w14:ligatures w14:val="standardContextual"/>
        </w:rPr>
      </w:pPr>
      <w:r w:rsidRPr="00C60B22">
        <w:rPr>
          <w:rFonts w:asciiTheme="minorHAnsi" w:eastAsiaTheme="minorHAnsi" w:hAnsiTheme="minorHAnsi" w:cstheme="minorBidi"/>
          <w:kern w:val="2"/>
          <w:sz w:val="22"/>
          <w:szCs w:val="22"/>
          <w14:ligatures w14:val="standardContextual"/>
        </w:rPr>
        <w:t xml:space="preserve">To ensure compliance, builders in this category should conduct thorough reviews of their existing record-keeping systems. </w:t>
      </w:r>
      <w:r w:rsidR="002A065F">
        <w:rPr>
          <w:rFonts w:asciiTheme="minorHAnsi" w:eastAsiaTheme="minorHAnsi" w:hAnsiTheme="minorHAnsi" w:cstheme="minorBidi"/>
          <w:kern w:val="2"/>
          <w:sz w:val="22"/>
          <w:szCs w:val="22"/>
          <w14:ligatures w14:val="standardContextual"/>
        </w:rPr>
        <w:t>Including a</w:t>
      </w:r>
      <w:r w:rsidRPr="00C60B22">
        <w:rPr>
          <w:rFonts w:asciiTheme="minorHAnsi" w:eastAsiaTheme="minorHAnsi" w:hAnsiTheme="minorHAnsi" w:cstheme="minorBidi"/>
          <w:kern w:val="2"/>
          <w:sz w:val="22"/>
          <w:szCs w:val="22"/>
          <w14:ligatures w14:val="standardContextual"/>
        </w:rPr>
        <w:t>ssessing the capabilities of electronic reporting tools and implementing any necessary upgrades to meet the specific requirements of the 2024 OSHA 300 and 301 regulations. Proactive adjustments to internal processes will not only facilitate compliance but also contribute to a safer and more secure working environment</w:t>
      </w:r>
      <w:r w:rsidR="002A065F">
        <w:rPr>
          <w:rFonts w:asciiTheme="minorHAnsi" w:eastAsiaTheme="minorHAnsi" w:hAnsiTheme="minorHAnsi" w:cstheme="minorBidi"/>
          <w:kern w:val="2"/>
          <w:sz w:val="22"/>
          <w:szCs w:val="22"/>
          <w14:ligatures w14:val="standardContextual"/>
        </w:rPr>
        <w:t>.</w:t>
      </w:r>
      <w:r w:rsidRPr="00C60B22">
        <w:rPr>
          <w:rFonts w:asciiTheme="minorHAnsi" w:eastAsiaTheme="minorHAnsi" w:hAnsiTheme="minorHAnsi" w:cstheme="minorBidi"/>
          <w:kern w:val="2"/>
          <w:sz w:val="22"/>
          <w:szCs w:val="22"/>
          <w14:ligatures w14:val="standardContextual"/>
        </w:rPr>
        <w:t xml:space="preserve"> </w:t>
      </w:r>
    </w:p>
    <w:p w14:paraId="1ED2AEF5" w14:textId="36FED46E" w:rsidR="00C60B22" w:rsidRDefault="002A065F" w:rsidP="00C60B22">
      <w:pPr>
        <w:pStyle w:val="NormalWeb"/>
        <w:rPr>
          <w:rFonts w:asciiTheme="minorHAnsi" w:eastAsiaTheme="minorHAnsi" w:hAnsiTheme="minorHAnsi" w:cstheme="minorBidi"/>
          <w:kern w:val="2"/>
          <w:sz w:val="22"/>
          <w:szCs w:val="22"/>
          <w14:ligatures w14:val="standardContextual"/>
        </w:rPr>
      </w:pPr>
      <w:r>
        <w:rPr>
          <w:rFonts w:asciiTheme="minorHAnsi" w:eastAsiaTheme="minorHAnsi" w:hAnsiTheme="minorHAnsi" w:cstheme="minorBidi"/>
          <w:kern w:val="2"/>
          <w:sz w:val="22"/>
          <w:szCs w:val="22"/>
          <w14:ligatures w14:val="standardContextual"/>
        </w:rPr>
        <w:t>T</w:t>
      </w:r>
      <w:r w:rsidR="00C60B22" w:rsidRPr="00C60B22">
        <w:rPr>
          <w:rFonts w:asciiTheme="minorHAnsi" w:eastAsiaTheme="minorHAnsi" w:hAnsiTheme="minorHAnsi" w:cstheme="minorBidi"/>
          <w:kern w:val="2"/>
          <w:sz w:val="22"/>
          <w:szCs w:val="22"/>
          <w14:ligatures w14:val="standardContextual"/>
        </w:rPr>
        <w:t xml:space="preserve">he 2024 OSHA 300 and 301 log updates present a unique set of challenges and </w:t>
      </w:r>
      <w:r w:rsidRPr="00C60B22">
        <w:rPr>
          <w:rFonts w:asciiTheme="minorHAnsi" w:eastAsiaTheme="minorHAnsi" w:hAnsiTheme="minorHAnsi" w:cstheme="minorBidi"/>
          <w:kern w:val="2"/>
          <w:sz w:val="22"/>
          <w:szCs w:val="22"/>
          <w14:ligatures w14:val="standardContextual"/>
        </w:rPr>
        <w:t>opportunities</w:t>
      </w:r>
      <w:r w:rsidR="00C60B22" w:rsidRPr="00C60B22">
        <w:rPr>
          <w:rFonts w:asciiTheme="minorHAnsi" w:eastAsiaTheme="minorHAnsi" w:hAnsiTheme="minorHAnsi" w:cstheme="minorBidi"/>
          <w:kern w:val="2"/>
          <w:sz w:val="22"/>
          <w:szCs w:val="22"/>
          <w14:ligatures w14:val="standardContextual"/>
        </w:rPr>
        <w:t>. By embracing these changes, investing in employee training, and upgrading record-keeping systems, larger construction enterprises can navigate the evolving regulatory landscape while fostering a culture of safety and accountability.</w:t>
      </w:r>
    </w:p>
    <w:p w14:paraId="4F7178F1" w14:textId="158EBA20" w:rsidR="00617025" w:rsidRPr="00D0577B" w:rsidRDefault="00617025" w:rsidP="00C60B22">
      <w:pPr>
        <w:pStyle w:val="NormalWeb"/>
        <w:rPr>
          <w:sz w:val="22"/>
          <w:szCs w:val="22"/>
        </w:rPr>
      </w:pPr>
      <w:r w:rsidRPr="00D0577B">
        <w:rPr>
          <w:rFonts w:asciiTheme="minorHAnsi" w:hAnsiTheme="minorHAnsi" w:cstheme="minorHAnsi"/>
          <w:sz w:val="22"/>
          <w:szCs w:val="22"/>
        </w:rPr>
        <w:t xml:space="preserve">For more information on the Importance of </w:t>
      </w:r>
      <w:r>
        <w:rPr>
          <w:rFonts w:asciiTheme="minorHAnsi" w:hAnsiTheme="minorHAnsi" w:cstheme="minorHAnsi"/>
          <w:sz w:val="22"/>
          <w:szCs w:val="22"/>
        </w:rPr>
        <w:t>2024 OSHA 300</w:t>
      </w:r>
      <w:r w:rsidR="00C60B22">
        <w:rPr>
          <w:rFonts w:asciiTheme="minorHAnsi" w:hAnsiTheme="minorHAnsi" w:cstheme="minorHAnsi"/>
          <w:sz w:val="22"/>
          <w:szCs w:val="22"/>
        </w:rPr>
        <w:t xml:space="preserve"> and 301</w:t>
      </w:r>
      <w:r>
        <w:rPr>
          <w:rFonts w:asciiTheme="minorHAnsi" w:hAnsiTheme="minorHAnsi" w:cstheme="minorHAnsi"/>
          <w:sz w:val="22"/>
          <w:szCs w:val="22"/>
        </w:rPr>
        <w:t xml:space="preserve"> Log Requirements</w:t>
      </w:r>
      <w:r w:rsidRPr="000118BC">
        <w:rPr>
          <w:rFonts w:asciiTheme="minorHAnsi" w:hAnsiTheme="minorHAnsi" w:cstheme="minorHAnsi"/>
          <w:sz w:val="22"/>
          <w:szCs w:val="22"/>
        </w:rPr>
        <w:t>,</w:t>
      </w:r>
      <w:r w:rsidRPr="00D0577B">
        <w:rPr>
          <w:rFonts w:asciiTheme="minorHAnsi" w:hAnsiTheme="minorHAnsi" w:cstheme="minorHAnsi"/>
          <w:sz w:val="22"/>
          <w:szCs w:val="22"/>
        </w:rPr>
        <w:t xml:space="preserve"> questions, or concerns, please contact PGM Safety Services, an affiliate company of Pro Group Management.  We will be happy to assist when you visit us at www.pgmnv.com or call (800) 859-3177.   </w:t>
      </w:r>
    </w:p>
    <w:p w14:paraId="4F398859" w14:textId="77777777" w:rsidR="00617025" w:rsidRDefault="00617025" w:rsidP="00617025">
      <w:r>
        <w:rPr>
          <w:noProof/>
        </w:rPr>
        <w:lastRenderedPageBreak/>
        <w:drawing>
          <wp:inline distT="0" distB="0" distL="0" distR="0" wp14:anchorId="7AA414AA" wp14:editId="4C52AA88">
            <wp:extent cx="1276350" cy="522605"/>
            <wp:effectExtent l="0" t="0" r="0" b="0"/>
            <wp:docPr id="5"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Text&#10;&#10;Description automatically generated with low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t xml:space="preserve">  </w:t>
      </w:r>
      <w:r>
        <w:rPr>
          <w:noProof/>
        </w:rPr>
        <w:drawing>
          <wp:inline distT="0" distB="0" distL="0" distR="0" wp14:anchorId="0677669A" wp14:editId="2DA7DD24">
            <wp:extent cx="1437005" cy="504825"/>
            <wp:effectExtent l="0" t="0" r="0" b="9525"/>
            <wp:docPr id="6" name="Picture 2" descr="http://files.ctctcdn.com/c5933794401/9546d008-49b4-407d-9ad1-a4a5be5d2991.jpg">
              <a:hlinkClick xmlns:a="http://schemas.openxmlformats.org/drawingml/2006/main" r:id="rId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6" tgtFrame="_blank"/>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6D308D27" w14:textId="77777777" w:rsidR="00617025" w:rsidRDefault="00617025" w:rsidP="00617025"/>
    <w:p w14:paraId="54F4D3E2" w14:textId="77777777" w:rsidR="00617025" w:rsidRDefault="00617025" w:rsidP="00617025"/>
    <w:sectPr w:rsidR="006170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025"/>
    <w:rsid w:val="000824B5"/>
    <w:rsid w:val="002A065F"/>
    <w:rsid w:val="002F74B2"/>
    <w:rsid w:val="004219CA"/>
    <w:rsid w:val="004B6F05"/>
    <w:rsid w:val="004E2B02"/>
    <w:rsid w:val="005C5A91"/>
    <w:rsid w:val="00617025"/>
    <w:rsid w:val="007A2706"/>
    <w:rsid w:val="009528DF"/>
    <w:rsid w:val="00B03EFA"/>
    <w:rsid w:val="00C006A1"/>
    <w:rsid w:val="00C60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7B53A"/>
  <w15:chartTrackingRefBased/>
  <w15:docId w15:val="{AADD2C6F-8825-4042-BB6C-9DDC23C7F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1702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140888">
      <w:bodyDiv w:val="1"/>
      <w:marLeft w:val="0"/>
      <w:marRight w:val="0"/>
      <w:marTop w:val="0"/>
      <w:marBottom w:val="0"/>
      <w:divBdr>
        <w:top w:val="none" w:sz="0" w:space="0" w:color="auto"/>
        <w:left w:val="none" w:sz="0" w:space="0" w:color="auto"/>
        <w:bottom w:val="none" w:sz="0" w:space="0" w:color="auto"/>
        <w:right w:val="none" w:sz="0" w:space="0" w:color="auto"/>
      </w:divBdr>
    </w:div>
    <w:div w:id="80347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Hunt</dc:creator>
  <cp:keywords/>
  <dc:description/>
  <cp:lastModifiedBy>Stacey Rich</cp:lastModifiedBy>
  <cp:revision>2</cp:revision>
  <cp:lastPrinted>2024-01-22T22:33:00Z</cp:lastPrinted>
  <dcterms:created xsi:type="dcterms:W3CDTF">2024-02-07T18:41:00Z</dcterms:created>
  <dcterms:modified xsi:type="dcterms:W3CDTF">2024-02-07T18:41:00Z</dcterms:modified>
</cp:coreProperties>
</file>