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8182" w14:textId="77777777" w:rsidR="00F47A69" w:rsidRPr="00F47A69" w:rsidRDefault="00F47A69" w:rsidP="00F47A69">
      <w:pPr>
        <w:spacing w:after="0" w:line="240" w:lineRule="auto"/>
        <w:jc w:val="center"/>
        <w:textAlignment w:val="baseline"/>
        <w:rPr>
          <w:rFonts w:ascii="Libre Franklin" w:eastAsia="Times New Roman" w:hAnsi="Libre Franklin" w:cs="Times New Roman"/>
          <w:color w:val="0000FF"/>
          <w:kern w:val="0"/>
          <w:u w:val="single"/>
          <w:bdr w:val="single" w:sz="2" w:space="0" w:color="E5E7EB" w:frame="1"/>
          <w14:ligatures w14:val="none"/>
        </w:rPr>
      </w:pPr>
      <w:r w:rsidRPr="00F47A69">
        <w:rPr>
          <w:rFonts w:ascii="Libre Franklin" w:eastAsia="Times New Roman" w:hAnsi="Libre Franklin" w:cs="Times New Roman"/>
          <w:color w:val="000000"/>
          <w:kern w:val="0"/>
          <w14:ligatures w14:val="none"/>
        </w:rPr>
        <w:fldChar w:fldCharType="begin"/>
      </w:r>
      <w:r w:rsidRPr="00F47A69">
        <w:rPr>
          <w:rFonts w:ascii="Libre Franklin" w:eastAsia="Times New Roman" w:hAnsi="Libre Franklin" w:cs="Times New Roman"/>
          <w:color w:val="000000"/>
          <w:kern w:val="0"/>
          <w14:ligatures w14:val="none"/>
        </w:rPr>
        <w:instrText>HYPERLINK "https://www.plasticsnews.com/author/frank-esposito"</w:instrText>
      </w:r>
      <w:r w:rsidRPr="00F47A69">
        <w:rPr>
          <w:rFonts w:ascii="Libre Franklin" w:eastAsia="Times New Roman" w:hAnsi="Libre Franklin" w:cs="Times New Roman"/>
          <w:color w:val="000000"/>
          <w:kern w:val="0"/>
          <w14:ligatures w14:val="none"/>
        </w:rPr>
      </w:r>
      <w:r w:rsidRPr="00F47A69">
        <w:rPr>
          <w:rFonts w:ascii="Libre Franklin" w:eastAsia="Times New Roman" w:hAnsi="Libre Franklin" w:cs="Times New Roman"/>
          <w:color w:val="000000"/>
          <w:kern w:val="0"/>
          <w14:ligatures w14:val="none"/>
        </w:rPr>
        <w:fldChar w:fldCharType="separate"/>
      </w:r>
    </w:p>
    <w:p w14:paraId="05542675" w14:textId="2102CFED" w:rsidR="00F47A69" w:rsidRPr="00F47A69" w:rsidRDefault="00F47A69" w:rsidP="00F47A69">
      <w:pPr>
        <w:spacing w:after="0" w:line="240" w:lineRule="auto"/>
        <w:jc w:val="center"/>
        <w:textAlignment w:val="baseline"/>
        <w:rPr>
          <w:rFonts w:ascii="Times New Roman" w:eastAsia="Times New Roman" w:hAnsi="Times New Roman" w:cs="Times New Roman"/>
          <w:kern w:val="0"/>
          <w14:ligatures w14:val="none"/>
        </w:rPr>
      </w:pPr>
    </w:p>
    <w:p w14:paraId="0853FBE6" w14:textId="77777777" w:rsidR="00F47A69" w:rsidRPr="00F47A69" w:rsidRDefault="00F47A69" w:rsidP="00F47A69">
      <w:pPr>
        <w:spacing w:after="0" w:line="240" w:lineRule="auto"/>
        <w:jc w:val="center"/>
        <w:textAlignment w:val="baseline"/>
        <w:rPr>
          <w:rFonts w:ascii="Libre Franklin" w:eastAsia="Times New Roman" w:hAnsi="Libre Franklin" w:cs="Times New Roman"/>
          <w:color w:val="0000FF"/>
          <w:kern w:val="0"/>
          <w:sz w:val="18"/>
          <w:szCs w:val="18"/>
          <w:u w:val="single"/>
          <w:bdr w:val="single" w:sz="2" w:space="0" w:color="E5E7EB" w:frame="1"/>
          <w14:ligatures w14:val="none"/>
        </w:rPr>
      </w:pPr>
      <w:proofErr w:type="gramStart"/>
      <w:r w:rsidRPr="00F47A69">
        <w:rPr>
          <w:rFonts w:ascii="Libre Franklin" w:eastAsia="Times New Roman" w:hAnsi="Libre Franklin" w:cs="Times New Roman"/>
          <w:color w:val="0000FF"/>
          <w:kern w:val="0"/>
          <w:sz w:val="18"/>
          <w:szCs w:val="18"/>
          <w:u w:val="single"/>
          <w:bdr w:val="single" w:sz="2" w:space="0" w:color="E5E7EB" w:frame="1"/>
          <w14:ligatures w14:val="none"/>
        </w:rPr>
        <w:t>By</w:t>
      </w:r>
      <w:proofErr w:type="gramEnd"/>
    </w:p>
    <w:p w14:paraId="18F34C2C" w14:textId="77777777" w:rsidR="00F47A69" w:rsidRPr="00F47A69" w:rsidRDefault="00F47A69" w:rsidP="00F47A69">
      <w:pPr>
        <w:spacing w:after="0" w:line="240" w:lineRule="auto"/>
        <w:jc w:val="center"/>
        <w:textAlignment w:val="baseline"/>
        <w:rPr>
          <w:rFonts w:ascii="Libre Franklin" w:eastAsia="Times New Roman" w:hAnsi="Libre Franklin" w:cs="Times New Roman"/>
          <w:b/>
          <w:bCs/>
          <w:color w:val="0000FF"/>
          <w:kern w:val="0"/>
          <w:sz w:val="18"/>
          <w:szCs w:val="18"/>
          <w:u w:val="single"/>
          <w:bdr w:val="single" w:sz="2" w:space="0" w:color="E5E7EB" w:frame="1"/>
          <w14:ligatures w14:val="none"/>
        </w:rPr>
      </w:pPr>
      <w:r w:rsidRPr="00F47A69">
        <w:rPr>
          <w:rFonts w:ascii="Libre Franklin" w:eastAsia="Times New Roman" w:hAnsi="Libre Franklin" w:cs="Times New Roman"/>
          <w:b/>
          <w:bCs/>
          <w:color w:val="0000FF"/>
          <w:kern w:val="0"/>
          <w:sz w:val="18"/>
          <w:szCs w:val="18"/>
          <w:u w:val="single"/>
          <w:bdr w:val="single" w:sz="2" w:space="0" w:color="E5E7EB" w:frame="1"/>
          <w14:ligatures w14:val="none"/>
        </w:rPr>
        <w:t>Frank Esposito</w:t>
      </w:r>
    </w:p>
    <w:p w14:paraId="48BDEE81" w14:textId="77777777" w:rsidR="00F47A69" w:rsidRPr="00F47A69" w:rsidRDefault="00F47A69" w:rsidP="00F47A69">
      <w:pPr>
        <w:spacing w:after="0" w:line="240" w:lineRule="auto"/>
        <w:jc w:val="center"/>
        <w:textAlignment w:val="baseline"/>
        <w:rPr>
          <w:rFonts w:ascii="Libre Franklin" w:eastAsia="Times New Roman" w:hAnsi="Libre Franklin" w:cs="Times New Roman"/>
          <w:color w:val="000000"/>
          <w:kern w:val="0"/>
          <w14:ligatures w14:val="none"/>
        </w:rPr>
      </w:pPr>
      <w:r w:rsidRPr="00F47A69">
        <w:rPr>
          <w:rFonts w:ascii="Libre Franklin" w:eastAsia="Times New Roman" w:hAnsi="Libre Franklin" w:cs="Times New Roman"/>
          <w:color w:val="000000"/>
          <w:kern w:val="0"/>
          <w14:ligatures w14:val="none"/>
        </w:rPr>
        <w:fldChar w:fldCharType="end"/>
      </w:r>
    </w:p>
    <w:p w14:paraId="39739F62" w14:textId="77777777" w:rsidR="00F47A69" w:rsidRPr="00F47A69" w:rsidRDefault="00F47A69" w:rsidP="00F47A69">
      <w:pPr>
        <w:spacing w:after="0" w:line="240" w:lineRule="auto"/>
        <w:jc w:val="center"/>
        <w:textAlignment w:val="baseline"/>
        <w:rPr>
          <w:rFonts w:ascii="Libre Franklin" w:eastAsia="Times New Roman" w:hAnsi="Libre Franklin" w:cs="Times New Roman"/>
          <w:color w:val="757171"/>
          <w:kern w:val="0"/>
          <w:sz w:val="18"/>
          <w:szCs w:val="18"/>
          <w14:ligatures w14:val="none"/>
        </w:rPr>
      </w:pPr>
      <w:r w:rsidRPr="00F47A69">
        <w:rPr>
          <w:rFonts w:ascii="Libre Franklin" w:eastAsia="Times New Roman" w:hAnsi="Libre Franklin" w:cs="Times New Roman"/>
          <w:color w:val="757171"/>
          <w:kern w:val="0"/>
          <w:sz w:val="18"/>
          <w:szCs w:val="18"/>
          <w14:ligatures w14:val="none"/>
        </w:rPr>
        <w:t xml:space="preserve">January 29, </w:t>
      </w:r>
      <w:proofErr w:type="gramStart"/>
      <w:r w:rsidRPr="00F47A69">
        <w:rPr>
          <w:rFonts w:ascii="Libre Franklin" w:eastAsia="Times New Roman" w:hAnsi="Libre Franklin" w:cs="Times New Roman"/>
          <w:color w:val="757171"/>
          <w:kern w:val="0"/>
          <w:sz w:val="18"/>
          <w:szCs w:val="18"/>
          <w14:ligatures w14:val="none"/>
        </w:rPr>
        <w:t>2026</w:t>
      </w:r>
      <w:proofErr w:type="gramEnd"/>
      <w:r w:rsidRPr="00F47A69">
        <w:rPr>
          <w:rFonts w:ascii="Libre Franklin" w:eastAsia="Times New Roman" w:hAnsi="Libre Franklin" w:cs="Times New Roman"/>
          <w:color w:val="757171"/>
          <w:kern w:val="0"/>
          <w:sz w:val="18"/>
          <w:szCs w:val="18"/>
          <w14:ligatures w14:val="none"/>
        </w:rPr>
        <w:t xml:space="preserve"> 09:39 AM EST</w:t>
      </w:r>
    </w:p>
    <w:p w14:paraId="23B6483F"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Dow Inc. unveiled an improvement program that will eliminate about 4,500 jobs on Jan. 29, the same day it announced a 7 percent drop in sales for 2025.</w:t>
      </w:r>
    </w:p>
    <w:p w14:paraId="22FE63F8"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The “Transform to Outperform” program is expected to create $2 billion in operating improvement, with $600 million to $800 million coming from the job cuts, Dow officials said. The 4,500 jobs represent more than 12 percent of Midland, Mich.-based Dow’s global workforce.</w:t>
      </w:r>
    </w:p>
    <w:p w14:paraId="144DD4B9"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“The goal of Transform to Outperform is to achieve significant growth and productivity gains that elevate Dow’s competitive position,” said </w:t>
      </w:r>
      <w:hyperlink r:id="rId4" w:history="1">
        <w:r w:rsidRPr="00F47A69">
          <w:rPr>
            <w:rFonts w:ascii="Libre Franklin" w:eastAsia="Times New Roman" w:hAnsi="Libre Franklin" w:cs="Times New Roman"/>
            <w:color w:val="232B39"/>
            <w:kern w:val="0"/>
            <w:sz w:val="27"/>
            <w:szCs w:val="27"/>
            <w:u w:val="single"/>
            <w:bdr w:val="single" w:sz="2" w:space="0" w:color="E5E7EB" w:frame="1"/>
            <w14:ligatures w14:val="none"/>
          </w:rPr>
          <w:t>Karen S. Carter</w:t>
        </w:r>
      </w:hyperlink>
      <w:r w:rsidRPr="00F47A69">
        <w:rPr>
          <w:rFonts w:ascii="Libre Franklin" w:eastAsia="Times New Roman" w:hAnsi="Libre Franklin" w:cs="Times New Roman"/>
          <w:color w:val="000000"/>
          <w:kern w:val="0"/>
          <w:sz w:val="27"/>
          <w:szCs w:val="27"/>
          <w14:ligatures w14:val="none"/>
        </w:rPr>
        <w:t>, Dow’s chief operating officer. “We are building on the momentum of our current self-help measures — transforming Dow into a company that is more resilient, consistently delivers growth, enables customer success, and delivers greater shareholder value across the cycle.”</w:t>
      </w:r>
    </w:p>
    <w:p w14:paraId="08E67675"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“Transform to Outperform will drive significant simplification in how work gets done, aimed at ensuring Dow’s continued global leadership,” said </w:t>
      </w:r>
      <w:hyperlink r:id="rId5" w:history="1">
        <w:r w:rsidRPr="00F47A69">
          <w:rPr>
            <w:rFonts w:ascii="Libre Franklin" w:eastAsia="Times New Roman" w:hAnsi="Libre Franklin" w:cs="Times New Roman"/>
            <w:color w:val="232B39"/>
            <w:kern w:val="0"/>
            <w:sz w:val="27"/>
            <w:szCs w:val="27"/>
            <w:u w:val="single"/>
            <w:bdr w:val="single" w:sz="2" w:space="0" w:color="E5E7EB" w:frame="1"/>
            <w14:ligatures w14:val="none"/>
          </w:rPr>
          <w:t>Jim Fitterling</w:t>
        </w:r>
      </w:hyperlink>
      <w:r w:rsidRPr="00F47A69">
        <w:rPr>
          <w:rFonts w:ascii="Libre Franklin" w:eastAsia="Times New Roman" w:hAnsi="Libre Franklin" w:cs="Times New Roman"/>
          <w:color w:val="000000"/>
          <w:kern w:val="0"/>
          <w:sz w:val="27"/>
          <w:szCs w:val="27"/>
          <w14:ligatures w14:val="none"/>
        </w:rPr>
        <w:t>, Dow chairman and CEO. “By leveraging best-in-class, cross-industry processes and leading-edge technologies, this work will further accelerate measures we have already taken to address the prolonged trough and structural industry challenges. Our efforts will build on Dow’s strong focus on safe and reliable operations while driving increased accountability and continuous improvement. This work aims to deliver improved growth, productivity and shareholder returns.”</w:t>
      </w:r>
    </w:p>
    <w:p w14:paraId="0C5B114B"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 xml:space="preserve">The announcement came the same day that Dow released </w:t>
      </w:r>
      <w:proofErr w:type="gramStart"/>
      <w:r w:rsidRPr="00F47A69">
        <w:rPr>
          <w:rFonts w:ascii="Libre Franklin" w:eastAsia="Times New Roman" w:hAnsi="Libre Franklin" w:cs="Times New Roman"/>
          <w:color w:val="000000"/>
          <w:kern w:val="0"/>
          <w:sz w:val="27"/>
          <w:szCs w:val="27"/>
          <w14:ligatures w14:val="none"/>
        </w:rPr>
        <w:t>results</w:t>
      </w:r>
      <w:proofErr w:type="gramEnd"/>
      <w:r w:rsidRPr="00F47A69">
        <w:rPr>
          <w:rFonts w:ascii="Libre Franklin" w:eastAsia="Times New Roman" w:hAnsi="Libre Franklin" w:cs="Times New Roman"/>
          <w:color w:val="000000"/>
          <w:kern w:val="0"/>
          <w:sz w:val="27"/>
          <w:szCs w:val="27"/>
          <w14:ligatures w14:val="none"/>
        </w:rPr>
        <w:t xml:space="preserve"> beating analyst estimates.</w:t>
      </w:r>
    </w:p>
    <w:p w14:paraId="1CB312DC" w14:textId="77777777" w:rsidR="00F47A69" w:rsidRPr="00F47A69" w:rsidRDefault="00F47A69" w:rsidP="00F47A69">
      <w:pPr>
        <w:spacing w:after="0" w:line="240" w:lineRule="auto"/>
        <w:rPr>
          <w:rFonts w:ascii="Times New Roman" w:eastAsia="Times New Roman" w:hAnsi="Times New Roman" w:cs="Times New Roman"/>
          <w:kern w:val="0"/>
          <w14:ligatures w14:val="none"/>
        </w:rPr>
      </w:pPr>
      <w:r w:rsidRPr="00F47A69">
        <w:rPr>
          <w:rFonts w:ascii="Times New Roman" w:eastAsia="Times New Roman" w:hAnsi="Times New Roman" w:cs="Times New Roman"/>
          <w:noProof/>
          <w:kern w:val="0"/>
          <w14:ligatures w14:val="none"/>
        </w:rPr>
        <w:lastRenderedPageBreak/>
        <w:drawing>
          <wp:inline distT="0" distB="0" distL="0" distR="0" wp14:anchorId="46D4220E" wp14:editId="532B4CD9">
            <wp:extent cx="3810000" cy="5835650"/>
            <wp:effectExtent l="0" t="0" r="0" b="0"/>
            <wp:docPr id="2" name="Picture 1" descr="Profile of Dow CEO Jim Fitterling in a dark suit and re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of Dow CEO Jim Fitterling in a dark suit and red t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5835650"/>
                    </a:xfrm>
                    <a:prstGeom prst="rect">
                      <a:avLst/>
                    </a:prstGeom>
                    <a:noFill/>
                    <a:ln>
                      <a:noFill/>
                    </a:ln>
                  </pic:spPr>
                </pic:pic>
              </a:graphicData>
            </a:graphic>
          </wp:inline>
        </w:drawing>
      </w:r>
      <w:r w:rsidRPr="00F47A69">
        <w:rPr>
          <w:rFonts w:ascii="Times New Roman" w:eastAsia="Times New Roman" w:hAnsi="Times New Roman" w:cs="Times New Roman"/>
          <w:kern w:val="0"/>
          <w:bdr w:val="single" w:sz="2" w:space="0" w:color="E5E7EB" w:frame="1"/>
          <w14:ligatures w14:val="none"/>
        </w:rPr>
        <w:t>Fitterling (Dow Inc.)</w:t>
      </w:r>
    </w:p>
    <w:p w14:paraId="1CE746A2"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“Dow’s self-help measures continue to gain traction and were evident in our fourth quarter results,” said Fitterling. “In 2025, we achieved well over half of our more than $6.5 billion in near-term cash and cost support actions, including the accelerated delivery of more than $400 million in cost savings from our $1 billion program.</w:t>
      </w:r>
    </w:p>
    <w:p w14:paraId="6F8D7DFB"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 xml:space="preserve">“As we move forward, Transform to Outperform represents a comprehensive and radical simplification of our operating model. It aims to deliver step-change productivity across every business and function and </w:t>
      </w:r>
      <w:r w:rsidRPr="00F47A69">
        <w:rPr>
          <w:rFonts w:ascii="Libre Franklin" w:eastAsia="Times New Roman" w:hAnsi="Libre Franklin" w:cs="Times New Roman"/>
          <w:color w:val="000000"/>
          <w:kern w:val="0"/>
          <w:sz w:val="27"/>
          <w:szCs w:val="27"/>
          <w14:ligatures w14:val="none"/>
        </w:rPr>
        <w:lastRenderedPageBreak/>
        <w:t>growth with our customers. We expect these efforts to provide at least $2 billion in additional near-term earnings while helping Dow set new competitive standards and improve shareholder returns,” he said.</w:t>
      </w:r>
    </w:p>
    <w:p w14:paraId="2226EAD0"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Dow’s full-year 2025 sales of $40 billion were down 7 percent vs. 2024. It posted a $2.4 billion loss for the year compared with $1.2 billion in earnings in 2024.</w:t>
      </w:r>
    </w:p>
    <w:p w14:paraId="4A0B054E"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 xml:space="preserve">Its sales for the fourth quarter of 2025 of $9.5 </w:t>
      </w:r>
      <w:proofErr w:type="gramStart"/>
      <w:r w:rsidRPr="00F47A69">
        <w:rPr>
          <w:rFonts w:ascii="Libre Franklin" w:eastAsia="Times New Roman" w:hAnsi="Libre Franklin" w:cs="Times New Roman"/>
          <w:color w:val="000000"/>
          <w:kern w:val="0"/>
          <w:sz w:val="27"/>
          <w:szCs w:val="27"/>
          <w14:ligatures w14:val="none"/>
        </w:rPr>
        <w:t>billion,</w:t>
      </w:r>
      <w:proofErr w:type="gramEnd"/>
      <w:r w:rsidRPr="00F47A69">
        <w:rPr>
          <w:rFonts w:ascii="Libre Franklin" w:eastAsia="Times New Roman" w:hAnsi="Libre Franklin" w:cs="Times New Roman"/>
          <w:color w:val="000000"/>
          <w:kern w:val="0"/>
          <w:sz w:val="27"/>
          <w:szCs w:val="27"/>
          <w14:ligatures w14:val="none"/>
        </w:rPr>
        <w:t xml:space="preserve"> were down 9 percent vs. the same quarter in 2024, but ahead of analysts’ expectations. The firm also posted a loss of almost $1.5 billion after losing $35 million in the year-ago period.</w:t>
      </w:r>
    </w:p>
    <w:p w14:paraId="23D74FB7"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Sales in Dow’s Packaging and Specialty Plastics unit, including a major polyethylene resin business, were down 11 percent to $4.7 billion for the quarter as operating profit fell 50 percent to $215 million.</w:t>
      </w:r>
    </w:p>
    <w:p w14:paraId="1619D2CF" w14:textId="77777777" w:rsidR="00F47A69" w:rsidRPr="00F47A69" w:rsidRDefault="00F47A69" w:rsidP="00F47A69">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F47A69">
        <w:rPr>
          <w:rFonts w:ascii="Libre Franklin" w:eastAsia="Times New Roman" w:hAnsi="Libre Franklin" w:cs="Times New Roman"/>
          <w:color w:val="000000"/>
          <w:kern w:val="0"/>
          <w:sz w:val="27"/>
          <w:szCs w:val="27"/>
          <w14:ligatures w14:val="none"/>
        </w:rPr>
        <w:t>Dow’s Industrial Intermediates and Infrastructure unit, including polyurethane, saw sales fall 7 percent to $2.7 billion with an operating loss of $201 million.</w:t>
      </w:r>
    </w:p>
    <w:sectPr w:rsidR="00F47A69" w:rsidRPr="00F47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69"/>
    <w:rsid w:val="006D3AB7"/>
    <w:rsid w:val="007D2897"/>
    <w:rsid w:val="00F4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9EA1"/>
  <w15:chartTrackingRefBased/>
  <w15:docId w15:val="{0A9A8626-65E2-42C1-A67C-EC03A04B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A69"/>
    <w:rPr>
      <w:rFonts w:eastAsiaTheme="majorEastAsia" w:cstheme="majorBidi"/>
      <w:color w:val="272727" w:themeColor="text1" w:themeTint="D8"/>
    </w:rPr>
  </w:style>
  <w:style w:type="paragraph" w:styleId="Title">
    <w:name w:val="Title"/>
    <w:basedOn w:val="Normal"/>
    <w:next w:val="Normal"/>
    <w:link w:val="TitleChar"/>
    <w:uiPriority w:val="10"/>
    <w:qFormat/>
    <w:rsid w:val="00F47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A69"/>
    <w:pPr>
      <w:spacing w:before="160"/>
      <w:jc w:val="center"/>
    </w:pPr>
    <w:rPr>
      <w:i/>
      <w:iCs/>
      <w:color w:val="404040" w:themeColor="text1" w:themeTint="BF"/>
    </w:rPr>
  </w:style>
  <w:style w:type="character" w:customStyle="1" w:styleId="QuoteChar">
    <w:name w:val="Quote Char"/>
    <w:basedOn w:val="DefaultParagraphFont"/>
    <w:link w:val="Quote"/>
    <w:uiPriority w:val="29"/>
    <w:rsid w:val="00F47A69"/>
    <w:rPr>
      <w:i/>
      <w:iCs/>
      <w:color w:val="404040" w:themeColor="text1" w:themeTint="BF"/>
    </w:rPr>
  </w:style>
  <w:style w:type="paragraph" w:styleId="ListParagraph">
    <w:name w:val="List Paragraph"/>
    <w:basedOn w:val="Normal"/>
    <w:uiPriority w:val="34"/>
    <w:qFormat/>
    <w:rsid w:val="00F47A69"/>
    <w:pPr>
      <w:ind w:left="720"/>
      <w:contextualSpacing/>
    </w:pPr>
  </w:style>
  <w:style w:type="character" w:styleId="IntenseEmphasis">
    <w:name w:val="Intense Emphasis"/>
    <w:basedOn w:val="DefaultParagraphFont"/>
    <w:uiPriority w:val="21"/>
    <w:qFormat/>
    <w:rsid w:val="00F47A69"/>
    <w:rPr>
      <w:i/>
      <w:iCs/>
      <w:color w:val="0F4761" w:themeColor="accent1" w:themeShade="BF"/>
    </w:rPr>
  </w:style>
  <w:style w:type="paragraph" w:styleId="IntenseQuote">
    <w:name w:val="Intense Quote"/>
    <w:basedOn w:val="Normal"/>
    <w:next w:val="Normal"/>
    <w:link w:val="IntenseQuoteChar"/>
    <w:uiPriority w:val="30"/>
    <w:qFormat/>
    <w:rsid w:val="00F47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A69"/>
    <w:rPr>
      <w:i/>
      <w:iCs/>
      <w:color w:val="0F4761" w:themeColor="accent1" w:themeShade="BF"/>
    </w:rPr>
  </w:style>
  <w:style w:type="character" w:styleId="IntenseReference">
    <w:name w:val="Intense Reference"/>
    <w:basedOn w:val="DefaultParagraphFont"/>
    <w:uiPriority w:val="32"/>
    <w:qFormat/>
    <w:rsid w:val="00F47A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dge.prnewswire.com/c/link/?t=0&amp;l=en&amp;o=4606355-1&amp;h=2036652903&amp;u=https%3A%2F%2Fcorporate.dow.com%2Fen-us%2Fabout-dow%2Fleadership%2Fjim-fitterling.html&amp;a=Jim+Fitterling" TargetMode="External"/><Relationship Id="rId4" Type="http://schemas.openxmlformats.org/officeDocument/2006/relationships/hyperlink" Target="https://edge.prnewswire.com/c/link/?t=0&amp;l=en&amp;o=4606355-1&amp;h=800734184&amp;u=https%3A%2F%2Fcorporate.dow.com%2Fen-us%2Fabout-dow%2Fleadership%2Fkaren-carter.html&amp;a=Karen+S.+C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2674</Characters>
  <Application>Microsoft Office Word</Application>
  <DocSecurity>0</DocSecurity>
  <Lines>55</Lines>
  <Paragraphs>15</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2</cp:revision>
  <dcterms:created xsi:type="dcterms:W3CDTF">2026-02-02T12:39:00Z</dcterms:created>
  <dcterms:modified xsi:type="dcterms:W3CDTF">2026-02-02T12:40:00Z</dcterms:modified>
</cp:coreProperties>
</file>