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E62A21" w14:paraId="6BFD7AAE"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E62A21" w14:paraId="6CDFEBF2" w14:textId="77777777">
              <w:trPr>
                <w:tblCellSpacing w:w="0" w:type="dxa"/>
              </w:trPr>
              <w:tc>
                <w:tcPr>
                  <w:tcW w:w="0" w:type="auto"/>
                  <w:tcMar>
                    <w:top w:w="150" w:type="dxa"/>
                    <w:left w:w="0" w:type="dxa"/>
                    <w:bottom w:w="150" w:type="dxa"/>
                    <w:right w:w="0" w:type="dxa"/>
                  </w:tcMar>
                  <w:hideMark/>
                </w:tcPr>
                <w:tbl>
                  <w:tblPr>
                    <w:tblpPr w:leftFromText="45" w:rightFromText="45" w:vertAnchor="text"/>
                    <w:tblW w:w="1200" w:type="dxa"/>
                    <w:tblCellSpacing w:w="0" w:type="dxa"/>
                    <w:tblCellMar>
                      <w:left w:w="0" w:type="dxa"/>
                      <w:right w:w="0" w:type="dxa"/>
                    </w:tblCellMar>
                    <w:tblLook w:val="04A0" w:firstRow="1" w:lastRow="0" w:firstColumn="1" w:lastColumn="0" w:noHBand="0" w:noVBand="1"/>
                  </w:tblPr>
                  <w:tblGrid>
                    <w:gridCol w:w="1200"/>
                  </w:tblGrid>
                  <w:tr w:rsidR="00E62A21" w14:paraId="038B612B" w14:textId="77777777">
                    <w:trPr>
                      <w:tblCellSpacing w:w="0" w:type="dxa"/>
                    </w:trPr>
                    <w:tc>
                      <w:tcPr>
                        <w:tcW w:w="0" w:type="auto"/>
                        <w:vAlign w:val="center"/>
                        <w:hideMark/>
                      </w:tcPr>
                      <w:p w14:paraId="5DE70A84" w14:textId="77777777" w:rsidR="00E62A21" w:rsidRDefault="00E62A21"/>
                    </w:tc>
                  </w:tr>
                  <w:tr w:rsidR="00E62A21" w14:paraId="5680CB66" w14:textId="77777777">
                    <w:trPr>
                      <w:tblCellSpacing w:w="0" w:type="dxa"/>
                    </w:trPr>
                    <w:tc>
                      <w:tcPr>
                        <w:tcW w:w="0" w:type="auto"/>
                        <w:tcMar>
                          <w:top w:w="120" w:type="dxa"/>
                          <w:left w:w="0" w:type="dxa"/>
                          <w:bottom w:w="255" w:type="dxa"/>
                          <w:right w:w="0" w:type="dxa"/>
                        </w:tcMar>
                        <w:hideMark/>
                      </w:tcPr>
                      <w:p w14:paraId="151B61BA" w14:textId="50ACAC2E" w:rsidR="00E62A21" w:rsidRDefault="00E62A21">
                        <w:pPr>
                          <w:jc w:val="center"/>
                          <w:rPr>
                            <w:rFonts w:eastAsia="Times New Roman"/>
                          </w:rPr>
                        </w:pPr>
                        <w:r>
                          <w:rPr>
                            <w:rFonts w:eastAsia="Times New Roman"/>
                            <w:noProof/>
                          </w:rPr>
                          <w:drawing>
                            <wp:inline distT="0" distB="0" distL="0" distR="0" wp14:anchorId="37EFD627" wp14:editId="25BCEAED">
                              <wp:extent cx="762000" cy="762000"/>
                              <wp:effectExtent l="0" t="0" r="0" b="0"/>
                              <wp:docPr id="507300544" name="Picture 2" descr="A person with a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00544" name="Picture 2" descr="A person with a bear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E62A21" w14:paraId="1A771D14" w14:textId="77777777">
                    <w:trPr>
                      <w:tblCellSpacing w:w="0" w:type="dxa"/>
                    </w:trPr>
                    <w:tc>
                      <w:tcPr>
                        <w:tcW w:w="0" w:type="auto"/>
                        <w:vAlign w:val="center"/>
                        <w:hideMark/>
                      </w:tcPr>
                      <w:p w14:paraId="2607F60D" w14:textId="77777777" w:rsidR="00E62A21" w:rsidRDefault="00E62A21">
                        <w:pPr>
                          <w:rPr>
                            <w:rFonts w:eastAsia="Times New Roman"/>
                          </w:rPr>
                        </w:pPr>
                      </w:p>
                    </w:tc>
                  </w:tr>
                </w:tbl>
                <w:tbl>
                  <w:tblPr>
                    <w:tblpPr w:leftFromText="45" w:rightFromText="45" w:vertAnchor="text" w:tblpXSpec="right" w:tblpYSpec="center"/>
                    <w:tblW w:w="6525" w:type="dxa"/>
                    <w:tblCellSpacing w:w="0" w:type="dxa"/>
                    <w:tblCellMar>
                      <w:left w:w="0" w:type="dxa"/>
                      <w:right w:w="0" w:type="dxa"/>
                    </w:tblCellMar>
                    <w:tblLook w:val="04A0" w:firstRow="1" w:lastRow="0" w:firstColumn="1" w:lastColumn="0" w:noHBand="0" w:noVBand="1"/>
                  </w:tblPr>
                  <w:tblGrid>
                    <w:gridCol w:w="6525"/>
                  </w:tblGrid>
                  <w:tr w:rsidR="00E62A21" w14:paraId="58658290" w14:textId="77777777">
                    <w:trPr>
                      <w:trHeight w:val="1236"/>
                      <w:tblCellSpacing w:w="0" w:type="dxa"/>
                    </w:trPr>
                    <w:tc>
                      <w:tcPr>
                        <w:tcW w:w="0" w:type="auto"/>
                        <w:vAlign w:val="center"/>
                      </w:tcPr>
                      <w:tbl>
                        <w:tblPr>
                          <w:tblW w:w="0" w:type="auto"/>
                          <w:tblCellSpacing w:w="0" w:type="dxa"/>
                          <w:tblCellMar>
                            <w:left w:w="0" w:type="dxa"/>
                            <w:right w:w="0" w:type="dxa"/>
                          </w:tblCellMar>
                          <w:tblLook w:val="04A0" w:firstRow="1" w:lastRow="0" w:firstColumn="1" w:lastColumn="0" w:noHBand="0" w:noVBand="1"/>
                        </w:tblPr>
                        <w:tblGrid>
                          <w:gridCol w:w="6525"/>
                        </w:tblGrid>
                        <w:tr w:rsidR="00E62A21" w14:paraId="1EA68FD8" w14:textId="77777777">
                          <w:trPr>
                            <w:tblCellSpacing w:w="0" w:type="dxa"/>
                          </w:trPr>
                          <w:tc>
                            <w:tcPr>
                              <w:tcW w:w="0" w:type="auto"/>
                              <w:tcMar>
                                <w:top w:w="0"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6525"/>
                              </w:tblGrid>
                              <w:tr w:rsidR="00E62A21" w14:paraId="1FBED39F" w14:textId="77777777">
                                <w:trPr>
                                  <w:tblCellSpacing w:w="0" w:type="dxa"/>
                                </w:trPr>
                                <w:tc>
                                  <w:tcPr>
                                    <w:tcW w:w="0" w:type="auto"/>
                                    <w:hideMark/>
                                  </w:tcPr>
                                  <w:p w14:paraId="66A33F43" w14:textId="77777777" w:rsidR="00E62A21" w:rsidRDefault="00E62A21">
                                    <w:pPr>
                                      <w:pStyle w:val="Heading1"/>
                                      <w:spacing w:before="0" w:after="0" w:line="480" w:lineRule="atLeast"/>
                                      <w:rPr>
                                        <w:rFonts w:ascii="Helvetica Neue" w:eastAsia="Times New Roman" w:hAnsi="Helvetica Neue" w:cs="Aptos"/>
                                        <w:sz w:val="36"/>
                                        <w:szCs w:val="36"/>
                                      </w:rPr>
                                    </w:pPr>
                                    <w:r>
                                      <w:rPr>
                                        <w:rFonts w:ascii="Helvetica Neue" w:eastAsia="Times New Roman" w:hAnsi="Helvetica Neue"/>
                                        <w:b/>
                                        <w:bCs/>
                                        <w:sz w:val="36"/>
                                        <w:szCs w:val="36"/>
                                      </w:rPr>
                                      <w:t>Ocean Shipping Rates Plunge; U.S. Targets Tariff Evasion; Manufacturing Contraction Slows</w:t>
                                    </w:r>
                                  </w:p>
                                </w:tc>
                              </w:tr>
                            </w:tbl>
                            <w:p w14:paraId="76C92BE9" w14:textId="77777777" w:rsidR="00E62A21" w:rsidRDefault="00E62A21">
                              <w:pPr>
                                <w:rPr>
                                  <w:rFonts w:ascii="Times New Roman" w:eastAsia="Times New Roman" w:hAnsi="Times New Roman" w:cs="Times New Roman"/>
                                  <w:sz w:val="20"/>
                                  <w:szCs w:val="20"/>
                                </w:rPr>
                              </w:pPr>
                            </w:p>
                          </w:tc>
                        </w:tr>
                      </w:tbl>
                      <w:p w14:paraId="76E9113B" w14:textId="77777777" w:rsidR="00E62A21" w:rsidRDefault="00E62A21">
                        <w:pPr>
                          <w:spacing w:line="360" w:lineRule="atLeast"/>
                          <w:rPr>
                            <w:rFonts w:ascii="Georgia" w:eastAsia="Times New Roman" w:hAnsi="Georgia"/>
                            <w:vanish/>
                            <w:color w:val="333333"/>
                          </w:rPr>
                        </w:pPr>
                      </w:p>
                      <w:tbl>
                        <w:tblPr>
                          <w:tblW w:w="0" w:type="auto"/>
                          <w:tblCellSpacing w:w="0" w:type="dxa"/>
                          <w:tblCellMar>
                            <w:left w:w="0" w:type="dxa"/>
                            <w:right w:w="0" w:type="dxa"/>
                          </w:tblCellMar>
                          <w:tblLook w:val="04A0" w:firstRow="1" w:lastRow="0" w:firstColumn="1" w:lastColumn="0" w:noHBand="0" w:noVBand="1"/>
                        </w:tblPr>
                        <w:tblGrid>
                          <w:gridCol w:w="1858"/>
                        </w:tblGrid>
                        <w:tr w:rsidR="00E62A21" w14:paraId="4B19EF1A" w14:textId="77777777">
                          <w:trPr>
                            <w:tblCellSpacing w:w="0" w:type="dxa"/>
                          </w:trPr>
                          <w:tc>
                            <w:tcPr>
                              <w:tcW w:w="0" w:type="auto"/>
                              <w:tcMar>
                                <w:top w:w="0" w:type="dxa"/>
                                <w:left w:w="0" w:type="dxa"/>
                                <w:bottom w:w="195" w:type="dxa"/>
                                <w:right w:w="0" w:type="dxa"/>
                              </w:tcMar>
                              <w:hideMark/>
                            </w:tcPr>
                            <w:p w14:paraId="6646F460" w14:textId="77777777" w:rsidR="00E62A21" w:rsidRDefault="00E62A21">
                              <w:pPr>
                                <w:pStyle w:val="Heading3"/>
                                <w:spacing w:before="0" w:after="0" w:line="315" w:lineRule="atLeast"/>
                                <w:rPr>
                                  <w:rFonts w:ascii="Georgia" w:eastAsia="Times New Roman" w:hAnsi="Georgia"/>
                                  <w:i/>
                                  <w:iCs/>
                                  <w:color w:val="666666"/>
                                  <w:sz w:val="21"/>
                                  <w:szCs w:val="21"/>
                                </w:rPr>
                              </w:pPr>
                              <w:r>
                                <w:rPr>
                                  <w:rFonts w:ascii="Georgia" w:eastAsia="Times New Roman" w:hAnsi="Georgia"/>
                                  <w:b/>
                                  <w:bCs/>
                                  <w:i/>
                                  <w:iCs/>
                                  <w:sz w:val="21"/>
                                  <w:szCs w:val="21"/>
                                </w:rPr>
                                <w:t>By Mark R. Long</w:t>
                              </w:r>
                            </w:p>
                          </w:tc>
                        </w:tr>
                      </w:tbl>
                      <w:p w14:paraId="3CF68552" w14:textId="77777777" w:rsidR="00E62A21" w:rsidRDefault="00E62A21">
                        <w:pPr>
                          <w:rPr>
                            <w:rFonts w:ascii="Times New Roman" w:eastAsia="Times New Roman" w:hAnsi="Times New Roman" w:cs="Times New Roman"/>
                            <w:sz w:val="20"/>
                            <w:szCs w:val="20"/>
                          </w:rPr>
                        </w:pPr>
                      </w:p>
                    </w:tc>
                  </w:tr>
                </w:tbl>
                <w:p w14:paraId="494EBE1B" w14:textId="77777777" w:rsidR="00E62A21" w:rsidRDefault="00E62A21">
                  <w:pPr>
                    <w:rPr>
                      <w:rFonts w:ascii="Times New Roman" w:eastAsia="Times New Roman" w:hAnsi="Times New Roman" w:cs="Times New Roman"/>
                      <w:sz w:val="20"/>
                      <w:szCs w:val="20"/>
                    </w:rPr>
                  </w:pPr>
                </w:p>
              </w:tc>
            </w:tr>
            <w:tr w:rsidR="00E62A21" w14:paraId="69C3AC7A" w14:textId="77777777" w:rsidTr="00E62A21">
              <w:trPr>
                <w:tblCellSpacing w:w="0" w:type="dxa"/>
              </w:trPr>
              <w:tc>
                <w:tcPr>
                  <w:tcW w:w="0" w:type="auto"/>
                  <w:tcMar>
                    <w:top w:w="0" w:type="dxa"/>
                    <w:left w:w="0" w:type="dxa"/>
                    <w:bottom w:w="300" w:type="dxa"/>
                    <w:right w:w="0" w:type="dxa"/>
                  </w:tcMar>
                </w:tcPr>
                <w:p w14:paraId="75AF8664" w14:textId="77777777" w:rsidR="00E62A21" w:rsidRDefault="00E62A21">
                  <w:pPr>
                    <w:rPr>
                      <w:rFonts w:ascii="Times New Roman" w:eastAsia="Times New Roman" w:hAnsi="Times New Roman" w:cs="Times New Roman"/>
                      <w:sz w:val="20"/>
                      <w:szCs w:val="20"/>
                    </w:rPr>
                  </w:pPr>
                </w:p>
              </w:tc>
            </w:tr>
          </w:tbl>
          <w:p w14:paraId="12BCB1CB" w14:textId="77777777" w:rsidR="00E62A21" w:rsidRDefault="00E62A21">
            <w:pPr>
              <w:rPr>
                <w:rFonts w:ascii="Times New Roman" w:eastAsia="Times New Roman" w:hAnsi="Times New Roman" w:cs="Times New Roman"/>
                <w:sz w:val="20"/>
                <w:szCs w:val="20"/>
              </w:rPr>
            </w:pPr>
          </w:p>
        </w:tc>
      </w:tr>
      <w:tr w:rsidR="00E62A21" w14:paraId="598BCDDB"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E62A21" w14:paraId="37516F9A" w14:textId="77777777">
              <w:trPr>
                <w:tblCellSpacing w:w="0" w:type="dxa"/>
              </w:trPr>
              <w:tc>
                <w:tcPr>
                  <w:tcW w:w="0" w:type="auto"/>
                  <w:vAlign w:val="center"/>
                  <w:hideMark/>
                </w:tcPr>
                <w:p w14:paraId="76585F6A" w14:textId="77777777" w:rsidR="00E62A21" w:rsidRDefault="00E62A21">
                  <w:pPr>
                    <w:rPr>
                      <w:rFonts w:ascii="Times New Roman" w:eastAsia="Times New Roman" w:hAnsi="Times New Roman" w:cs="Times New Roman"/>
                      <w:sz w:val="20"/>
                      <w:szCs w:val="20"/>
                    </w:rPr>
                  </w:pPr>
                </w:p>
              </w:tc>
            </w:tr>
            <w:tr w:rsidR="00E62A21" w14:paraId="541139D0" w14:textId="77777777" w:rsidTr="00E62A21">
              <w:trPr>
                <w:tblCellSpacing w:w="0" w:type="dxa"/>
              </w:trPr>
              <w:tc>
                <w:tcPr>
                  <w:tcW w:w="0" w:type="auto"/>
                  <w:tcMar>
                    <w:top w:w="60" w:type="dxa"/>
                    <w:left w:w="0" w:type="dxa"/>
                    <w:bottom w:w="300" w:type="dxa"/>
                    <w:right w:w="0" w:type="dxa"/>
                  </w:tcMar>
                </w:tcPr>
                <w:p w14:paraId="0D781D85" w14:textId="77777777" w:rsidR="00E62A21" w:rsidRDefault="00E62A21" w:rsidP="00E62A21">
                  <w:pPr>
                    <w:rPr>
                      <w:rFonts w:ascii="Times New Roman" w:eastAsia="Times New Roman" w:hAnsi="Times New Roman" w:cs="Times New Roman"/>
                      <w:sz w:val="20"/>
                      <w:szCs w:val="20"/>
                    </w:rPr>
                  </w:pPr>
                </w:p>
              </w:tc>
            </w:tr>
            <w:tr w:rsidR="00E62A21" w14:paraId="4681F460" w14:textId="77777777">
              <w:trPr>
                <w:tblCellSpacing w:w="0" w:type="dxa"/>
              </w:trPr>
              <w:tc>
                <w:tcPr>
                  <w:tcW w:w="0" w:type="auto"/>
                  <w:vAlign w:val="center"/>
                  <w:hideMark/>
                </w:tcPr>
                <w:p w14:paraId="33E3D57D" w14:textId="77777777" w:rsidR="00E62A21" w:rsidRDefault="00E62A21">
                  <w:pPr>
                    <w:rPr>
                      <w:rFonts w:ascii="Times New Roman" w:eastAsia="Times New Roman" w:hAnsi="Times New Roman" w:cs="Times New Roman"/>
                      <w:sz w:val="20"/>
                      <w:szCs w:val="20"/>
                    </w:rPr>
                  </w:pPr>
                </w:p>
              </w:tc>
            </w:tr>
          </w:tbl>
          <w:p w14:paraId="0288EA29" w14:textId="77777777" w:rsidR="00E62A21" w:rsidRDefault="00E62A21">
            <w:pPr>
              <w:rPr>
                <w:rFonts w:ascii="Times New Roman" w:eastAsia="Times New Roman" w:hAnsi="Times New Roman" w:cs="Times New Roman"/>
                <w:sz w:val="20"/>
                <w:szCs w:val="20"/>
              </w:rPr>
            </w:pPr>
          </w:p>
        </w:tc>
      </w:tr>
      <w:tr w:rsidR="00E62A21" w14:paraId="5B9C7802"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E62A21" w14:paraId="4F424D11" w14:textId="77777777">
              <w:trPr>
                <w:tblCellSpacing w:w="0" w:type="dxa"/>
              </w:trPr>
              <w:tc>
                <w:tcPr>
                  <w:tcW w:w="0" w:type="auto"/>
                  <w:hideMark/>
                </w:tcPr>
                <w:p w14:paraId="636535C8" w14:textId="77777777" w:rsidR="00E62A21" w:rsidRDefault="00E62A21">
                  <w:pPr>
                    <w:spacing w:after="270" w:line="360" w:lineRule="atLeast"/>
                    <w:rPr>
                      <w:rFonts w:ascii="Georgia" w:hAnsi="Georgia"/>
                      <w:color w:val="333333"/>
                    </w:rPr>
                  </w:pPr>
                  <w:r>
                    <w:rPr>
                      <w:rStyle w:val="Strong"/>
                      <w:rFonts w:ascii="Georgia" w:hAnsi="Georgia"/>
                    </w:rPr>
                    <w:t xml:space="preserve">Ocean shipping rates from China to the U.S. West Coast have fallen 68% from </w:t>
                  </w:r>
                  <w:hyperlink r:id="rId5" w:history="1">
                    <w:r>
                      <w:rPr>
                        <w:rStyle w:val="Hyperlink"/>
                        <w:rFonts w:ascii="Georgia" w:hAnsi="Georgia"/>
                        <w:b/>
                        <w:bCs/>
                        <w:color w:val="0274B6"/>
                      </w:rPr>
                      <w:t>their June high</w:t>
                    </w:r>
                  </w:hyperlink>
                  <w:r>
                    <w:rPr>
                      <w:rStyle w:val="Strong"/>
                      <w:rFonts w:ascii="Georgia" w:hAnsi="Georgia"/>
                    </w:rPr>
                    <w:t>,</w:t>
                  </w:r>
                  <w:r>
                    <w:rPr>
                      <w:rFonts w:ascii="Georgia" w:hAnsi="Georgia"/>
                      <w:color w:val="333333"/>
                    </w:rPr>
                    <w:t xml:space="preserve"> a sign this year’s peak shipping season was earlier and shorter than usual.</w:t>
                  </w:r>
                </w:p>
                <w:p w14:paraId="3CCD27BA" w14:textId="77777777" w:rsidR="00E62A21" w:rsidRDefault="00E62A21">
                  <w:pPr>
                    <w:spacing w:after="270" w:line="360" w:lineRule="atLeast"/>
                    <w:rPr>
                      <w:rFonts w:ascii="Georgia" w:hAnsi="Georgia"/>
                      <w:color w:val="333333"/>
                    </w:rPr>
                  </w:pPr>
                  <w:r>
                    <w:rPr>
                      <w:rFonts w:ascii="Georgia" w:hAnsi="Georgia"/>
                      <w:color w:val="333333"/>
                    </w:rPr>
                    <w:t xml:space="preserve">The rate slide also signals that </w:t>
                  </w:r>
                  <w:hyperlink r:id="rId6" w:history="1">
                    <w:r>
                      <w:rPr>
                        <w:rStyle w:val="Hyperlink"/>
                        <w:rFonts w:ascii="Georgia" w:hAnsi="Georgia"/>
                        <w:color w:val="0274B6"/>
                      </w:rPr>
                      <w:t>some U.S. retailers and manufacturers are taking a cautious approach to new orders</w:t>
                    </w:r>
                  </w:hyperlink>
                  <w:r>
                    <w:rPr>
                      <w:rFonts w:ascii="Georgia" w:hAnsi="Georgia"/>
                      <w:color w:val="333333"/>
                    </w:rPr>
                    <w:t xml:space="preserve"> ahead of the year’s busy fall and winter shopping periods, the WSJ Logistics Report’s Paul Berger writes. Tariff uncertainties, shifting trade policies and concerns about consumer spending are all making importers wary.</w:t>
                  </w:r>
                </w:p>
                <w:p w14:paraId="2579DDE4" w14:textId="77777777" w:rsidR="00E62A21" w:rsidRDefault="00E62A21">
                  <w:pPr>
                    <w:spacing w:after="270" w:line="360" w:lineRule="atLeast"/>
                    <w:rPr>
                      <w:rFonts w:ascii="Georgia" w:hAnsi="Georgia"/>
                      <w:color w:val="333333"/>
                    </w:rPr>
                  </w:pPr>
                  <w:r>
                    <w:rPr>
                      <w:rFonts w:ascii="Georgia" w:hAnsi="Georgia"/>
                      <w:color w:val="333333"/>
                    </w:rPr>
                    <w:t xml:space="preserve">Worldwide, the average cost of shipping a 40-foot container has fallen for 11 consecutive weeks, to $2,119, according to London-based </w:t>
                  </w:r>
                  <w:r>
                    <w:rPr>
                      <w:rStyle w:val="Strong"/>
                      <w:rFonts w:ascii="Georgia" w:hAnsi="Georgia"/>
                    </w:rPr>
                    <w:t>Drewry Shipping Consultants</w:t>
                  </w:r>
                  <w:r>
                    <w:rPr>
                      <w:rFonts w:ascii="Georgia" w:hAnsi="Georgia"/>
                      <w:color w:val="333333"/>
                    </w:rPr>
                    <w:t xml:space="preserve">, down 40% from its mid-June high. The average short-term contract rate to ship a box from China to the U.S. West Coast on Sept. 1 was $1,802, down from a high of $5,553 in June, according to data firm </w:t>
                  </w:r>
                  <w:r>
                    <w:rPr>
                      <w:rStyle w:val="Strong"/>
                      <w:rFonts w:ascii="Georgia" w:hAnsi="Georgia"/>
                    </w:rPr>
                    <w:t>Xeneta</w:t>
                  </w:r>
                  <w:r>
                    <w:rPr>
                      <w:rFonts w:ascii="Georgia" w:hAnsi="Georgia"/>
                      <w:color w:val="333333"/>
                    </w:rPr>
                    <w:t>.</w:t>
                  </w:r>
                </w:p>
              </w:tc>
            </w:tr>
          </w:tbl>
          <w:p w14:paraId="3D936BD4" w14:textId="77777777" w:rsidR="00E62A21" w:rsidRDefault="00E62A21">
            <w:pPr>
              <w:rPr>
                <w:rFonts w:ascii="Times New Roman" w:eastAsia="Times New Roman" w:hAnsi="Times New Roman" w:cs="Times New Roman"/>
                <w:sz w:val="20"/>
                <w:szCs w:val="20"/>
              </w:rPr>
            </w:pPr>
          </w:p>
        </w:tc>
      </w:tr>
    </w:tbl>
    <w:p w14:paraId="5C9B02B4" w14:textId="77777777" w:rsidR="00D76552" w:rsidRDefault="00D76552"/>
    <w:sectPr w:rsidR="00D76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21"/>
    <w:rsid w:val="00B63EA2"/>
    <w:rsid w:val="00D76552"/>
    <w:rsid w:val="00E6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2876"/>
  <w15:chartTrackingRefBased/>
  <w15:docId w15:val="{294A67E1-8D7F-4ADD-9182-366CA7D5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21"/>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E62A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2A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2A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2A2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62A2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62A2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62A2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62A2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62A2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21"/>
    <w:rPr>
      <w:rFonts w:eastAsiaTheme="majorEastAsia" w:cstheme="majorBidi"/>
      <w:color w:val="272727" w:themeColor="text1" w:themeTint="D8"/>
    </w:rPr>
  </w:style>
  <w:style w:type="paragraph" w:styleId="Title">
    <w:name w:val="Title"/>
    <w:basedOn w:val="Normal"/>
    <w:next w:val="Normal"/>
    <w:link w:val="TitleChar"/>
    <w:uiPriority w:val="10"/>
    <w:qFormat/>
    <w:rsid w:val="00E62A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2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2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2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62A21"/>
    <w:rPr>
      <w:i/>
      <w:iCs/>
      <w:color w:val="404040" w:themeColor="text1" w:themeTint="BF"/>
    </w:rPr>
  </w:style>
  <w:style w:type="paragraph" w:styleId="ListParagraph">
    <w:name w:val="List Paragraph"/>
    <w:basedOn w:val="Normal"/>
    <w:uiPriority w:val="34"/>
    <w:qFormat/>
    <w:rsid w:val="00E62A2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E62A21"/>
    <w:rPr>
      <w:i/>
      <w:iCs/>
      <w:color w:val="0F4761" w:themeColor="accent1" w:themeShade="BF"/>
    </w:rPr>
  </w:style>
  <w:style w:type="paragraph" w:styleId="IntenseQuote">
    <w:name w:val="Intense Quote"/>
    <w:basedOn w:val="Normal"/>
    <w:next w:val="Normal"/>
    <w:link w:val="IntenseQuoteChar"/>
    <w:uiPriority w:val="30"/>
    <w:qFormat/>
    <w:rsid w:val="00E62A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62A21"/>
    <w:rPr>
      <w:i/>
      <w:iCs/>
      <w:color w:val="0F4761" w:themeColor="accent1" w:themeShade="BF"/>
    </w:rPr>
  </w:style>
  <w:style w:type="character" w:styleId="IntenseReference">
    <w:name w:val="Intense Reference"/>
    <w:basedOn w:val="DefaultParagraphFont"/>
    <w:uiPriority w:val="32"/>
    <w:qFormat/>
    <w:rsid w:val="00E62A21"/>
    <w:rPr>
      <w:b/>
      <w:bCs/>
      <w:smallCaps/>
      <w:color w:val="0F4761" w:themeColor="accent1" w:themeShade="BF"/>
      <w:spacing w:val="5"/>
    </w:rPr>
  </w:style>
  <w:style w:type="character" w:styleId="Hyperlink">
    <w:name w:val="Hyperlink"/>
    <w:basedOn w:val="DefaultParagraphFont"/>
    <w:uiPriority w:val="99"/>
    <w:semiHidden/>
    <w:unhideWhenUsed/>
    <w:rsid w:val="00E62A21"/>
    <w:rPr>
      <w:color w:val="467886" w:themeColor="hyperlink"/>
      <w:u w:val="single"/>
    </w:rPr>
  </w:style>
  <w:style w:type="character" w:styleId="Strong">
    <w:name w:val="Strong"/>
    <w:basedOn w:val="DefaultParagraphFont"/>
    <w:uiPriority w:val="22"/>
    <w:qFormat/>
    <w:rsid w:val="00E62A21"/>
    <w:rPr>
      <w:b/>
      <w:bCs/>
      <w:color w:val="000000"/>
    </w:rPr>
  </w:style>
  <w:style w:type="paragraph" w:styleId="NormalWeb">
    <w:name w:val="Normal (Web)"/>
    <w:basedOn w:val="Normal"/>
    <w:uiPriority w:val="99"/>
    <w:semiHidden/>
    <w:unhideWhenUsed/>
    <w:rsid w:val="00E62A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stics.cmail20.com/t/d-l-gbjjky-dkjukldyku-u/" TargetMode="External"/><Relationship Id="rId5" Type="http://schemas.openxmlformats.org/officeDocument/2006/relationships/hyperlink" Target="https://logistics.cmail20.com/t/d-l-gbjjky-dkjukldyk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2025-09-04T11:50:00Z</dcterms:created>
  <dcterms:modified xsi:type="dcterms:W3CDTF">2025-09-04T11:51:00Z</dcterms:modified>
</cp:coreProperties>
</file>