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27AD" w14:textId="77777777" w:rsidR="00037AD2" w:rsidRPr="00037AD2" w:rsidRDefault="00037AD2" w:rsidP="00037AD2">
      <w:pPr>
        <w:shd w:val="clear" w:color="auto" w:fill="FFFFFF"/>
        <w:spacing w:after="0" w:line="600" w:lineRule="atLeast"/>
        <w:outlineLvl w:val="0"/>
        <w:rPr>
          <w:rFonts w:ascii="Times New Roman" w:eastAsia="Times New Roman" w:hAnsi="Times New Roman" w:cs="Times New Roman"/>
          <w:b/>
          <w:bCs/>
          <w:color w:val="222222"/>
          <w:kern w:val="36"/>
          <w:sz w:val="60"/>
          <w:szCs w:val="60"/>
          <w14:ligatures w14:val="none"/>
        </w:rPr>
      </w:pPr>
      <w:r w:rsidRPr="00037AD2">
        <w:rPr>
          <w:rFonts w:ascii="Times New Roman" w:eastAsia="Times New Roman" w:hAnsi="Times New Roman" w:cs="Times New Roman"/>
          <w:b/>
          <w:bCs/>
          <w:color w:val="222222"/>
          <w:kern w:val="36"/>
          <w:sz w:val="60"/>
          <w:szCs w:val="60"/>
          <w14:ligatures w14:val="none"/>
        </w:rPr>
        <w:t>Investors See Bright Side in Economic Outlook, Push Stocks to New Highs</w:t>
      </w:r>
    </w:p>
    <w:p w14:paraId="1471143B" w14:textId="77777777" w:rsidR="00037AD2" w:rsidRPr="00037AD2" w:rsidRDefault="00037AD2" w:rsidP="00037AD2">
      <w:pPr>
        <w:shd w:val="clear" w:color="auto" w:fill="FFFFFF"/>
        <w:spacing w:after="0" w:line="420" w:lineRule="atLeast"/>
        <w:outlineLvl w:val="1"/>
        <w:rPr>
          <w:rFonts w:ascii="Helvetica" w:eastAsia="Times New Roman" w:hAnsi="Helvetica" w:cs="Helvetica"/>
          <w:color w:val="555555"/>
          <w:kern w:val="0"/>
          <w:sz w:val="30"/>
          <w:szCs w:val="30"/>
          <w14:ligatures w14:val="none"/>
        </w:rPr>
      </w:pPr>
      <w:r w:rsidRPr="00037AD2">
        <w:rPr>
          <w:rFonts w:ascii="Helvetica" w:eastAsia="Times New Roman" w:hAnsi="Helvetica" w:cs="Helvetica"/>
          <w:color w:val="555555"/>
          <w:kern w:val="0"/>
          <w:sz w:val="30"/>
          <w:szCs w:val="30"/>
          <w14:ligatures w14:val="none"/>
        </w:rPr>
        <w:t>The stock market is off to a hot start in 2026, a good omen for the rest of the year</w:t>
      </w:r>
    </w:p>
    <w:p w14:paraId="5121E2FD" w14:textId="77777777" w:rsidR="00037AD2" w:rsidRPr="00037AD2" w:rsidRDefault="00037AD2" w:rsidP="00037AD2">
      <w:pPr>
        <w:spacing w:after="0" w:line="240" w:lineRule="auto"/>
        <w:rPr>
          <w:rFonts w:ascii="Georgia" w:eastAsia="Times New Roman" w:hAnsi="Georgia" w:cs="Times New Roman"/>
          <w:i/>
          <w:iCs/>
          <w:color w:val="222222"/>
          <w:kern w:val="0"/>
          <w:sz w:val="21"/>
          <w:szCs w:val="21"/>
          <w14:ligatures w14:val="none"/>
        </w:rPr>
      </w:pPr>
      <w:proofErr w:type="gramStart"/>
      <w:r w:rsidRPr="00037AD2">
        <w:rPr>
          <w:rFonts w:ascii="Georgia" w:eastAsia="Times New Roman" w:hAnsi="Georgia" w:cs="Times New Roman"/>
          <w:i/>
          <w:iCs/>
          <w:color w:val="222222"/>
          <w:kern w:val="0"/>
          <w:sz w:val="21"/>
          <w:szCs w:val="21"/>
          <w14:ligatures w14:val="none"/>
        </w:rPr>
        <w:t>By</w:t>
      </w:r>
      <w:proofErr w:type="gramEnd"/>
      <w:r w:rsidRPr="00037AD2">
        <w:rPr>
          <w:rFonts w:ascii="Georgia" w:eastAsia="Times New Roman" w:hAnsi="Georgia" w:cs="Times New Roman"/>
          <w:i/>
          <w:iCs/>
          <w:color w:val="222222"/>
          <w:kern w:val="0"/>
          <w:sz w:val="21"/>
          <w:szCs w:val="21"/>
          <w14:ligatures w14:val="none"/>
        </w:rPr>
        <w:t> </w:t>
      </w:r>
    </w:p>
    <w:p w14:paraId="1C0DEFA9" w14:textId="77777777" w:rsidR="00037AD2" w:rsidRPr="00037AD2" w:rsidRDefault="00037AD2" w:rsidP="00037AD2">
      <w:pPr>
        <w:spacing w:after="0" w:line="240" w:lineRule="auto"/>
        <w:rPr>
          <w:rFonts w:ascii="Georgia" w:eastAsia="Times New Roman" w:hAnsi="Georgia" w:cs="Times New Roman"/>
          <w:i/>
          <w:iCs/>
          <w:color w:val="222222"/>
          <w:kern w:val="0"/>
          <w:sz w:val="21"/>
          <w:szCs w:val="21"/>
          <w14:ligatures w14:val="none"/>
        </w:rPr>
      </w:pPr>
      <w:hyperlink r:id="rId5" w:tgtFrame="_self" w:history="1">
        <w:r w:rsidRPr="00037AD2">
          <w:rPr>
            <w:rFonts w:ascii="Georgia" w:eastAsia="Times New Roman" w:hAnsi="Georgia" w:cs="Times New Roman"/>
            <w:i/>
            <w:iCs/>
            <w:color w:val="0274B6"/>
            <w:kern w:val="0"/>
            <w:sz w:val="21"/>
            <w:szCs w:val="21"/>
            <w14:ligatures w14:val="none"/>
          </w:rPr>
          <w:t>Vicky Ge Huang</w:t>
        </w:r>
      </w:hyperlink>
    </w:p>
    <w:p w14:paraId="3F6B447E" w14:textId="77777777" w:rsidR="00037AD2" w:rsidRPr="00037AD2" w:rsidRDefault="00037AD2" w:rsidP="00037AD2">
      <w:pPr>
        <w:spacing w:after="0" w:line="300" w:lineRule="atLeast"/>
        <w:rPr>
          <w:rFonts w:ascii="Georgia" w:eastAsia="Times New Roman" w:hAnsi="Georgia" w:cs="Times New Roman"/>
          <w:i/>
          <w:iCs/>
          <w:color w:val="6F6F6F"/>
          <w:kern w:val="0"/>
          <w:sz w:val="21"/>
          <w:szCs w:val="21"/>
          <w14:ligatures w14:val="none"/>
        </w:rPr>
      </w:pPr>
      <w:r w:rsidRPr="00037AD2">
        <w:rPr>
          <w:rFonts w:ascii="Georgia" w:eastAsia="Times New Roman" w:hAnsi="Georgia" w:cs="Times New Roman"/>
          <w:i/>
          <w:iCs/>
          <w:color w:val="6F6F6F"/>
          <w:kern w:val="0"/>
          <w:sz w:val="21"/>
          <w:szCs w:val="21"/>
          <w14:ligatures w14:val="none"/>
        </w:rPr>
        <w:t xml:space="preserve">Jan. 9, </w:t>
      </w:r>
      <w:proofErr w:type="gramStart"/>
      <w:r w:rsidRPr="00037AD2">
        <w:rPr>
          <w:rFonts w:ascii="Georgia" w:eastAsia="Times New Roman" w:hAnsi="Georgia" w:cs="Times New Roman"/>
          <w:i/>
          <w:iCs/>
          <w:color w:val="6F6F6F"/>
          <w:kern w:val="0"/>
          <w:sz w:val="21"/>
          <w:szCs w:val="21"/>
          <w14:ligatures w14:val="none"/>
        </w:rPr>
        <w:t>2026</w:t>
      </w:r>
      <w:proofErr w:type="gramEnd"/>
      <w:r w:rsidRPr="00037AD2">
        <w:rPr>
          <w:rFonts w:ascii="Georgia" w:eastAsia="Times New Roman" w:hAnsi="Georgia" w:cs="Times New Roman"/>
          <w:i/>
          <w:iCs/>
          <w:color w:val="6F6F6F"/>
          <w:kern w:val="0"/>
          <w:sz w:val="21"/>
          <w:szCs w:val="21"/>
          <w14:ligatures w14:val="none"/>
        </w:rPr>
        <w:t xml:space="preserve"> 4:55 pm ET</w:t>
      </w:r>
    </w:p>
    <w:p w14:paraId="36A5EA9E" w14:textId="77777777" w:rsidR="00037AD2" w:rsidRDefault="00037AD2" w:rsidP="00037AD2">
      <w:pPr>
        <w:spacing w:after="240" w:line="240" w:lineRule="auto"/>
        <w:rPr>
          <w:rFonts w:ascii="Georgia" w:eastAsia="Times New Roman" w:hAnsi="Georgia" w:cs="Times New Roman"/>
          <w:color w:val="222222"/>
          <w:kern w:val="0"/>
          <w14:ligatures w14:val="none"/>
        </w:rPr>
      </w:pPr>
    </w:p>
    <w:p w14:paraId="4377014C" w14:textId="1B5C1532"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Investors opened 2026 feeling optimistic about the economy, lifting both the S&amp;P 500 and the Dow Jones Industrial Average to fresh records in the first full week of the new year. </w:t>
      </w:r>
    </w:p>
    <w:p w14:paraId="47799B0D"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Friday’s jobs report, which showed the U.S. </w:t>
      </w:r>
      <w:hyperlink r:id="rId6" w:tgtFrame="_blank" w:history="1">
        <w:r w:rsidRPr="00037AD2">
          <w:rPr>
            <w:rFonts w:ascii="Georgia" w:eastAsia="Times New Roman" w:hAnsi="Georgia" w:cs="Times New Roman"/>
            <w:color w:val="0274B6"/>
            <w:kern w:val="0"/>
            <w:u w:val="single"/>
            <w14:ligatures w14:val="none"/>
          </w:rPr>
          <w:t>added fewer jobs</w:t>
        </w:r>
      </w:hyperlink>
      <w:r w:rsidRPr="00037AD2">
        <w:rPr>
          <w:rFonts w:ascii="Georgia" w:eastAsia="Times New Roman" w:hAnsi="Georgia" w:cs="Times New Roman"/>
          <w:color w:val="222222"/>
          <w:kern w:val="0"/>
          <w14:ligatures w14:val="none"/>
        </w:rPr>
        <w:t> than expected in December, wasn’t enough to weaken confidence that this year will be better than the last. The economy is growing at a healthy clip, and consumer sentiment is </w:t>
      </w:r>
      <w:hyperlink r:id="rId7" w:tgtFrame="_blank" w:history="1">
        <w:r w:rsidRPr="00037AD2">
          <w:rPr>
            <w:rFonts w:ascii="Georgia" w:eastAsia="Times New Roman" w:hAnsi="Georgia" w:cs="Times New Roman"/>
            <w:color w:val="0274B6"/>
            <w:kern w:val="0"/>
            <w:u w:val="single"/>
            <w14:ligatures w14:val="none"/>
          </w:rPr>
          <w:t>inching higher</w:t>
        </w:r>
      </w:hyperlink>
      <w:r w:rsidRPr="00037AD2">
        <w:rPr>
          <w:rFonts w:ascii="Georgia" w:eastAsia="Times New Roman" w:hAnsi="Georgia" w:cs="Times New Roman"/>
          <w:color w:val="222222"/>
          <w:kern w:val="0"/>
          <w14:ligatures w14:val="none"/>
        </w:rPr>
        <w:t>, according to a preliminary University of Michigan survey.</w:t>
      </w:r>
    </w:p>
    <w:p w14:paraId="1F3E09E2"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“I think the economic outlook looks brighter for 2026, and the U.S. expansion is likely to broaden this year,” said Bill Adams, chief economist for Comerica Bank. “Monetary policy has become more accommodative, and fiscal policy is also going to be a tailwind to economic growth this year, with both tax cuts as well as increases in government spending scheduled.”</w:t>
      </w:r>
    </w:p>
    <w:p w14:paraId="2A0DD382"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The S&amp;P 500 rose 1.6% this week, while the Dow industrials gained 2.3%. The Nasdaq composite advanced 1.9%.</w:t>
      </w:r>
    </w:p>
    <w:p w14:paraId="6F77E2BD"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On Friday, the S&amp;P rose 0.6% to close at its second all-time high of 2026. The Dow added 238 points, or 0.5%, closing at a record for the third time this year. The tech-heavy Nasdaq rose 0.8%.</w:t>
      </w:r>
    </w:p>
    <w:p w14:paraId="6542558F"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The Russell 2000 index of small-cap stocks jumped 0.8% Friday and 4.6% for the week, signaling that </w:t>
      </w:r>
      <w:hyperlink r:id="rId8" w:tgtFrame="_blank" w:history="1">
        <w:r w:rsidRPr="00037AD2">
          <w:rPr>
            <w:rFonts w:ascii="Georgia" w:eastAsia="Times New Roman" w:hAnsi="Georgia" w:cs="Times New Roman"/>
            <w:color w:val="0274B6"/>
            <w:kern w:val="0"/>
            <w:u w:val="single"/>
            <w14:ligatures w14:val="none"/>
          </w:rPr>
          <w:t>Wall Street’s “rotation trade”</w:t>
        </w:r>
      </w:hyperlink>
      <w:r w:rsidRPr="00037AD2">
        <w:rPr>
          <w:rFonts w:ascii="Georgia" w:eastAsia="Times New Roman" w:hAnsi="Georgia" w:cs="Times New Roman"/>
          <w:color w:val="222222"/>
          <w:kern w:val="0"/>
          <w14:ligatures w14:val="none"/>
        </w:rPr>
        <w:t> is in full swing. Driven by economic optimism and fears of an artificial-intelligence bubble, investors are increasingly trimming their exposure to the tech sector’s heavyweights and adding other stocks that also thrive in a growing economy.</w:t>
      </w:r>
    </w:p>
    <w:p w14:paraId="73B38B65"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 xml:space="preserve">The stock market’s fast start, which continued even after the U.S.’s weekend incursion in Venezuela put geopolitics back in the spotlight, is a good sign, investors said. History suggests that this early momentum matters: In six of the past seven years, the S&amp;P 500’s </w:t>
      </w:r>
      <w:r w:rsidRPr="00037AD2">
        <w:rPr>
          <w:rFonts w:ascii="Georgia" w:eastAsia="Times New Roman" w:hAnsi="Georgia" w:cs="Times New Roman"/>
          <w:color w:val="222222"/>
          <w:kern w:val="0"/>
          <w14:ligatures w14:val="none"/>
        </w:rPr>
        <w:lastRenderedPageBreak/>
        <w:t>performance during the </w:t>
      </w:r>
      <w:hyperlink r:id="rId9" w:tgtFrame="_blank" w:history="1">
        <w:r w:rsidRPr="00037AD2">
          <w:rPr>
            <w:rFonts w:ascii="Georgia" w:eastAsia="Times New Roman" w:hAnsi="Georgia" w:cs="Times New Roman"/>
            <w:color w:val="0274B6"/>
            <w:kern w:val="0"/>
            <w:u w:val="single"/>
            <w14:ligatures w14:val="none"/>
          </w:rPr>
          <w:t>first five trading days of January</w:t>
        </w:r>
      </w:hyperlink>
      <w:r w:rsidRPr="00037AD2">
        <w:rPr>
          <w:rFonts w:ascii="Georgia" w:eastAsia="Times New Roman" w:hAnsi="Georgia" w:cs="Times New Roman"/>
          <w:color w:val="222222"/>
          <w:kern w:val="0"/>
          <w14:ligatures w14:val="none"/>
        </w:rPr>
        <w:t> has accurately predicted its direction for the remainder of the year.</w:t>
      </w:r>
    </w:p>
    <w:p w14:paraId="49F794DB"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“Folks returned to their desk this week with a very positive outlook,” said Mark Malek, chief investment officer at Siebert Financial. “You could have fallen on two different sides on the Venezuela thing, and it seems like the market viewed it as a positive.”</w:t>
      </w:r>
    </w:p>
    <w:p w14:paraId="3A167671"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Some investors remain cautious about the implications of a Supreme Court ruling on President Trump’s sweeping tariffs. In November, justices appeared skeptical of the duties and questioned the administration’s position. While investors and businesses had braced for a potential ruling on Friday, a decision is now expected </w:t>
      </w:r>
      <w:hyperlink r:id="rId10" w:tgtFrame="_blank" w:history="1">
        <w:r w:rsidRPr="00037AD2">
          <w:rPr>
            <w:rFonts w:ascii="Georgia" w:eastAsia="Times New Roman" w:hAnsi="Georgia" w:cs="Times New Roman"/>
            <w:color w:val="0274B6"/>
            <w:kern w:val="0"/>
            <w:u w:val="single"/>
            <w14:ligatures w14:val="none"/>
          </w:rPr>
          <w:t>as soon as next week</w:t>
        </w:r>
      </w:hyperlink>
      <w:r w:rsidRPr="00037AD2">
        <w:rPr>
          <w:rFonts w:ascii="Georgia" w:eastAsia="Times New Roman" w:hAnsi="Georgia" w:cs="Times New Roman"/>
          <w:color w:val="222222"/>
          <w:kern w:val="0"/>
          <w14:ligatures w14:val="none"/>
        </w:rPr>
        <w:t>. </w:t>
      </w:r>
    </w:p>
    <w:p w14:paraId="0ACAA193"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 xml:space="preserve">A ruling against the administration could boost stocks by improving corporate margins and easing consumer burden. Still, some investors argue that such a move could eliminate a source of tax revenue for the government, worsen the federal deficit and </w:t>
      </w:r>
      <w:proofErr w:type="gramStart"/>
      <w:r w:rsidRPr="00037AD2">
        <w:rPr>
          <w:rFonts w:ascii="Georgia" w:eastAsia="Times New Roman" w:hAnsi="Georgia" w:cs="Times New Roman"/>
          <w:color w:val="222222"/>
          <w:kern w:val="0"/>
          <w14:ligatures w14:val="none"/>
        </w:rPr>
        <w:t>drive up</w:t>
      </w:r>
      <w:proofErr w:type="gramEnd"/>
      <w:r w:rsidRPr="00037AD2">
        <w:rPr>
          <w:rFonts w:ascii="Georgia" w:eastAsia="Times New Roman" w:hAnsi="Georgia" w:cs="Times New Roman"/>
          <w:color w:val="222222"/>
          <w:kern w:val="0"/>
          <w14:ligatures w14:val="none"/>
        </w:rPr>
        <w:t xml:space="preserve"> bond yields, creating a new source of uncertainty in the markets. </w:t>
      </w:r>
    </w:p>
    <w:p w14:paraId="1AA533AF"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“The Supreme Court ruling could be a bit of a mess,” Malek said. “If they do shoot down the tariffs, even though you might see a relief rally of some sort, I think it will be somewhat short-lived.”</w:t>
      </w:r>
    </w:p>
    <w:p w14:paraId="4EBC8BA7"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Elsewhere, shares of </w:t>
      </w:r>
      <w:hyperlink r:id="rId11" w:tgtFrame="_blank" w:history="1">
        <w:r w:rsidRPr="00037AD2">
          <w:rPr>
            <w:rFonts w:ascii="Georgia" w:eastAsia="Times New Roman" w:hAnsi="Georgia" w:cs="Times New Roman"/>
            <w:color w:val="0274B6"/>
            <w:kern w:val="0"/>
            <w:u w:val="single"/>
            <w14:ligatures w14:val="none"/>
          </w:rPr>
          <w:t>Intel</w:t>
        </w:r>
      </w:hyperlink>
      <w:r w:rsidRPr="00037AD2">
        <w:rPr>
          <w:rFonts w:ascii="Georgia" w:eastAsia="Times New Roman" w:hAnsi="Georgia" w:cs="Times New Roman"/>
          <w:color w:val="222222"/>
          <w:kern w:val="0"/>
          <w14:ligatures w14:val="none"/>
        </w:rPr>
        <w:t> jumped 11% after President Trump said late Thursday he had “just finished a great meeting” with Chief Executive Officer Lip-Bu Tan. The U.S. government has said it would convert around $9 billion in federal grants into a </w:t>
      </w:r>
      <w:hyperlink r:id="rId12" w:tgtFrame="_blank" w:history="1">
        <w:r w:rsidRPr="00037AD2">
          <w:rPr>
            <w:rFonts w:ascii="Georgia" w:eastAsia="Times New Roman" w:hAnsi="Georgia" w:cs="Times New Roman"/>
            <w:color w:val="0274B6"/>
            <w:kern w:val="0"/>
            <w:u w:val="single"/>
            <w14:ligatures w14:val="none"/>
          </w:rPr>
          <w:t>10% equity stake</w:t>
        </w:r>
      </w:hyperlink>
      <w:r w:rsidRPr="00037AD2">
        <w:rPr>
          <w:rFonts w:ascii="Georgia" w:eastAsia="Times New Roman" w:hAnsi="Georgia" w:cs="Times New Roman"/>
          <w:color w:val="222222"/>
          <w:kern w:val="0"/>
          <w14:ligatures w14:val="none"/>
        </w:rPr>
        <w:t> in the chip maker.</w:t>
      </w:r>
    </w:p>
    <w:p w14:paraId="32465FA8" w14:textId="77777777" w:rsidR="00037AD2" w:rsidRPr="00037AD2" w:rsidRDefault="00037AD2" w:rsidP="00037AD2">
      <w:pPr>
        <w:spacing w:after="240" w:line="240" w:lineRule="auto"/>
        <w:rPr>
          <w:rFonts w:ascii="Georgia" w:eastAsia="Times New Roman" w:hAnsi="Georgia" w:cs="Times New Roman"/>
          <w:color w:val="222222"/>
          <w:kern w:val="0"/>
          <w14:ligatures w14:val="none"/>
        </w:rPr>
      </w:pPr>
      <w:r w:rsidRPr="00037AD2">
        <w:rPr>
          <w:rFonts w:ascii="Georgia" w:eastAsia="Times New Roman" w:hAnsi="Georgia" w:cs="Times New Roman"/>
          <w:color w:val="222222"/>
          <w:kern w:val="0"/>
          <w14:ligatures w14:val="none"/>
        </w:rPr>
        <w:t>Freddie Mac fell 0.6%, and </w:t>
      </w:r>
      <w:hyperlink r:id="rId13" w:tgtFrame="_blank" w:history="1">
        <w:r w:rsidRPr="00037AD2">
          <w:rPr>
            <w:rFonts w:ascii="Georgia" w:eastAsia="Times New Roman" w:hAnsi="Georgia" w:cs="Times New Roman"/>
            <w:color w:val="0274B6"/>
            <w:kern w:val="0"/>
            <w:u w:val="single"/>
            <w14:ligatures w14:val="none"/>
          </w:rPr>
          <w:t>Fannie Mae</w:t>
        </w:r>
      </w:hyperlink>
      <w:r w:rsidRPr="00037AD2">
        <w:rPr>
          <w:rFonts w:ascii="Georgia" w:eastAsia="Times New Roman" w:hAnsi="Georgia" w:cs="Times New Roman"/>
          <w:color w:val="222222"/>
          <w:kern w:val="0"/>
          <w14:ligatures w14:val="none"/>
        </w:rPr>
        <w:t> rose 1.5% in over-the-counter trading after Trump said the government-backed mortgage-finance companies would </w:t>
      </w:r>
      <w:hyperlink r:id="rId14" w:tgtFrame="_blank" w:history="1">
        <w:r w:rsidRPr="00037AD2">
          <w:rPr>
            <w:rFonts w:ascii="Georgia" w:eastAsia="Times New Roman" w:hAnsi="Georgia" w:cs="Times New Roman"/>
            <w:color w:val="0274B6"/>
            <w:kern w:val="0"/>
            <w:u w:val="single"/>
            <w14:ligatures w14:val="none"/>
          </w:rPr>
          <w:t>buy $200 billion worth of mortgage bonds</w:t>
        </w:r>
      </w:hyperlink>
      <w:r w:rsidRPr="00037AD2">
        <w:rPr>
          <w:rFonts w:ascii="Georgia" w:eastAsia="Times New Roman" w:hAnsi="Georgia" w:cs="Times New Roman"/>
          <w:color w:val="222222"/>
          <w:kern w:val="0"/>
          <w14:ligatures w14:val="none"/>
        </w:rPr>
        <w:t>, as part of an effort to make homeownership more affordable.</w:t>
      </w:r>
    </w:p>
    <w:p w14:paraId="0F259284" w14:textId="77777777" w:rsidR="006067B8" w:rsidRDefault="006067B8"/>
    <w:sectPr w:rsidR="00606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A4647"/>
    <w:multiLevelType w:val="multilevel"/>
    <w:tmpl w:val="B62A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C4DD2"/>
    <w:multiLevelType w:val="multilevel"/>
    <w:tmpl w:val="816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657618">
    <w:abstractNumId w:val="1"/>
  </w:num>
  <w:num w:numId="2" w16cid:durableId="98993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D2"/>
    <w:rsid w:val="00037AD2"/>
    <w:rsid w:val="006067B8"/>
    <w:rsid w:val="00B72A06"/>
    <w:rsid w:val="00EE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E4B4"/>
  <w15:chartTrackingRefBased/>
  <w15:docId w15:val="{C2B08999-FC7B-4E73-97E4-892C0D3A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AD2"/>
    <w:rPr>
      <w:rFonts w:eastAsiaTheme="majorEastAsia" w:cstheme="majorBidi"/>
      <w:color w:val="272727" w:themeColor="text1" w:themeTint="D8"/>
    </w:rPr>
  </w:style>
  <w:style w:type="paragraph" w:styleId="Title">
    <w:name w:val="Title"/>
    <w:basedOn w:val="Normal"/>
    <w:next w:val="Normal"/>
    <w:link w:val="TitleChar"/>
    <w:uiPriority w:val="10"/>
    <w:qFormat/>
    <w:rsid w:val="00037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AD2"/>
    <w:pPr>
      <w:spacing w:before="160"/>
      <w:jc w:val="center"/>
    </w:pPr>
    <w:rPr>
      <w:i/>
      <w:iCs/>
      <w:color w:val="404040" w:themeColor="text1" w:themeTint="BF"/>
    </w:rPr>
  </w:style>
  <w:style w:type="character" w:customStyle="1" w:styleId="QuoteChar">
    <w:name w:val="Quote Char"/>
    <w:basedOn w:val="DefaultParagraphFont"/>
    <w:link w:val="Quote"/>
    <w:uiPriority w:val="29"/>
    <w:rsid w:val="00037AD2"/>
    <w:rPr>
      <w:i/>
      <w:iCs/>
      <w:color w:val="404040" w:themeColor="text1" w:themeTint="BF"/>
    </w:rPr>
  </w:style>
  <w:style w:type="paragraph" w:styleId="ListParagraph">
    <w:name w:val="List Paragraph"/>
    <w:basedOn w:val="Normal"/>
    <w:uiPriority w:val="34"/>
    <w:qFormat/>
    <w:rsid w:val="00037AD2"/>
    <w:pPr>
      <w:ind w:left="720"/>
      <w:contextualSpacing/>
    </w:pPr>
  </w:style>
  <w:style w:type="character" w:styleId="IntenseEmphasis">
    <w:name w:val="Intense Emphasis"/>
    <w:basedOn w:val="DefaultParagraphFont"/>
    <w:uiPriority w:val="21"/>
    <w:qFormat/>
    <w:rsid w:val="00037AD2"/>
    <w:rPr>
      <w:i/>
      <w:iCs/>
      <w:color w:val="0F4761" w:themeColor="accent1" w:themeShade="BF"/>
    </w:rPr>
  </w:style>
  <w:style w:type="paragraph" w:styleId="IntenseQuote">
    <w:name w:val="Intense Quote"/>
    <w:basedOn w:val="Normal"/>
    <w:next w:val="Normal"/>
    <w:link w:val="IntenseQuoteChar"/>
    <w:uiPriority w:val="30"/>
    <w:qFormat/>
    <w:rsid w:val="00037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AD2"/>
    <w:rPr>
      <w:i/>
      <w:iCs/>
      <w:color w:val="0F4761" w:themeColor="accent1" w:themeShade="BF"/>
    </w:rPr>
  </w:style>
  <w:style w:type="character" w:styleId="IntenseReference">
    <w:name w:val="Intense Reference"/>
    <w:basedOn w:val="DefaultParagraphFont"/>
    <w:uiPriority w:val="32"/>
    <w:qFormat/>
    <w:rsid w:val="00037A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finance/stocks/the-stock-market-rally-isnt-just-about-tech-anymore-d42267e2?mod=article_inline" TargetMode="External"/><Relationship Id="rId13" Type="http://schemas.openxmlformats.org/officeDocument/2006/relationships/hyperlink" Target="https://www.wsj.com/market-data/quotes/FNMA" TargetMode="External"/><Relationship Id="rId3" Type="http://schemas.openxmlformats.org/officeDocument/2006/relationships/settings" Target="settings.xml"/><Relationship Id="rId7" Type="http://schemas.openxmlformats.org/officeDocument/2006/relationships/hyperlink" Target="https://www.wsj.com/economy/consumers/consumer-sentiment-edges-higher-michigan-survey-finds-160b3208?mod=article_inline" TargetMode="External"/><Relationship Id="rId12" Type="http://schemas.openxmlformats.org/officeDocument/2006/relationships/hyperlink" Target="https://www.wsj.com/tech/trump-to-announce-u-s-taking-nearly-10-stake-in-intel-1a38225d?mod=article_inl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sj.com/economy/jobs/jobs-report-december-2025-unemployment-16e90dea?mod=article_inline" TargetMode="External"/><Relationship Id="rId11" Type="http://schemas.openxmlformats.org/officeDocument/2006/relationships/hyperlink" Target="https://www.wsj.com/market-data/quotes/INTC" TargetMode="External"/><Relationship Id="rId5" Type="http://schemas.openxmlformats.org/officeDocument/2006/relationships/hyperlink" Target="https://www.wsj.com/news/author/vicky-ge-huang" TargetMode="External"/><Relationship Id="rId15" Type="http://schemas.openxmlformats.org/officeDocument/2006/relationships/fontTable" Target="fontTable.xml"/><Relationship Id="rId10" Type="http://schemas.openxmlformats.org/officeDocument/2006/relationships/hyperlink" Target="https://www.wsj.com/livecoverage/stock-market-today-dow-sp-500-nasdaq-01-09-2026/card/when-will-the-supreme-court-rule-on-trump-s-tariffs--OI1RSzw9oX6Aej14jSfo?mod=article_inline" TargetMode="External"/><Relationship Id="rId4" Type="http://schemas.openxmlformats.org/officeDocument/2006/relationships/webSettings" Target="webSettings.xml"/><Relationship Id="rId9" Type="http://schemas.openxmlformats.org/officeDocument/2006/relationships/hyperlink" Target="https://www.wsj.com/livecoverage/stock-market-today-dow-sp-500-nasdaq-01-08-2026/card/what-to-make-of-stocks-early-gains-in-2026-L43Mv1eVGKYJ8XadNZqx?mod=article_inline" TargetMode="External"/><Relationship Id="rId14" Type="http://schemas.openxmlformats.org/officeDocument/2006/relationships/hyperlink" Target="https://www.wsj.com/finance/regulation/trump-calls-on-fannie-and-freddie-to-buy-200-billion-in-mortgage-bonds-79312e1c?mod=article_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3155</Characters>
  <Application>Microsoft Office Word</Application>
  <DocSecurity>0</DocSecurity>
  <Lines>58</Lines>
  <Paragraphs>18</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2</cp:revision>
  <dcterms:created xsi:type="dcterms:W3CDTF">2026-01-10T14:13:00Z</dcterms:created>
  <dcterms:modified xsi:type="dcterms:W3CDTF">2026-01-10T14:17:00Z</dcterms:modified>
</cp:coreProperties>
</file>