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BC65" w14:textId="1EB1B14C" w:rsidR="00A71DC4" w:rsidRDefault="00A71DC4" w:rsidP="00A71DC4">
      <w:r>
        <w:rPr>
          <w:rFonts w:ascii="Roboto" w:hAnsi="Roboto"/>
          <w:color w:val="333333"/>
          <w:sz w:val="54"/>
          <w:szCs w:val="54"/>
          <w:shd w:val="clear" w:color="auto" w:fill="FFFFFF"/>
        </w:rPr>
        <w:t>Plastics Industry Braces for 2026 Construction Market Challenges</w:t>
      </w:r>
    </w:p>
    <w:p w14:paraId="292B6143" w14:textId="200ECF69" w:rsidR="00A71DC4" w:rsidRPr="00A71DC4" w:rsidRDefault="00A71DC4" w:rsidP="00A71DC4">
      <w:r w:rsidRPr="00A71DC4">
        <w:t>Plastics Industry Association Chief Economist Perc Pineda, PhD, highlights economic resilience but warns of construction investment challenges for plastics manufacturers.</w:t>
      </w:r>
    </w:p>
    <w:p w14:paraId="003F0336" w14:textId="3C9BC4CC" w:rsidR="00A71DC4" w:rsidRPr="00A71DC4" w:rsidRDefault="00A71DC4" w:rsidP="00A71DC4">
      <w:r w:rsidRPr="00A71DC4">
        <w:drawing>
          <wp:inline distT="0" distB="0" distL="0" distR="0" wp14:anchorId="1F9D44A3" wp14:editId="1689B970">
            <wp:extent cx="952500" cy="1123950"/>
            <wp:effectExtent l="0" t="0" r="0" b="0"/>
            <wp:docPr id="235634721" name="Picture 2" descr="Picture of David Hutt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David Hutt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p w14:paraId="0C6AE71E" w14:textId="77777777" w:rsidR="00A71DC4" w:rsidRPr="00A71DC4" w:rsidRDefault="00A71DC4" w:rsidP="00A71DC4">
      <w:hyperlink r:id="rId7" w:history="1">
        <w:r w:rsidRPr="00A71DC4">
          <w:rPr>
            <w:rStyle w:val="Hyperlink"/>
          </w:rPr>
          <w:t>David Hutton</w:t>
        </w:r>
      </w:hyperlink>
    </w:p>
    <w:p w14:paraId="7C311BB9" w14:textId="77777777" w:rsidR="00A71DC4" w:rsidRPr="00A71DC4" w:rsidRDefault="00A71DC4" w:rsidP="00A71DC4">
      <w:r w:rsidRPr="00A71DC4">
        <w:t>January 27, 2026</w:t>
      </w:r>
    </w:p>
    <w:p w14:paraId="03018EC6" w14:textId="77777777" w:rsidR="00A71DC4" w:rsidRPr="00A71DC4" w:rsidRDefault="00A71DC4" w:rsidP="00A71DC4">
      <w:r w:rsidRPr="00A71DC4">
        <w:t>4 Min Read</w:t>
      </w:r>
    </w:p>
    <w:p w14:paraId="6DCEEEF6" w14:textId="46CE3472" w:rsidR="00A71DC4" w:rsidRPr="00A71DC4" w:rsidRDefault="00A71DC4" w:rsidP="00A71DC4">
      <w:r w:rsidRPr="00A71DC4">
        <w:drawing>
          <wp:inline distT="0" distB="0" distL="0" distR="0" wp14:anchorId="6F5EF6B5" wp14:editId="721C67FC">
            <wp:extent cx="5943600" cy="3343275"/>
            <wp:effectExtent l="0" t="0" r="0" b="9525"/>
            <wp:docPr id="743007752" name="Picture 1" descr="Workers at constru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ers at construction 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6B23394" w14:textId="77777777" w:rsidR="00A71DC4" w:rsidRPr="00A71DC4" w:rsidRDefault="00A71DC4" w:rsidP="00A71DC4">
      <w:r w:rsidRPr="00A71DC4">
        <w:t xml:space="preserve">Plastics demand is closely tied to construction activity, with borrowing costs and labor shaping the road </w:t>
      </w:r>
      <w:proofErr w:type="spellStart"/>
      <w:proofErr w:type="gramStart"/>
      <w:r w:rsidRPr="00A71DC4">
        <w:t>ahead.Jacob</w:t>
      </w:r>
      <w:proofErr w:type="spellEnd"/>
      <w:proofErr w:type="gramEnd"/>
      <w:r w:rsidRPr="00A71DC4">
        <w:t xml:space="preserve"> Wackerhausen/iStock via Getty Images</w:t>
      </w:r>
    </w:p>
    <w:p w14:paraId="6D718802" w14:textId="77777777" w:rsidR="00A71DC4" w:rsidRPr="00A71DC4" w:rsidRDefault="00A71DC4" w:rsidP="00A71DC4">
      <w:proofErr w:type="gramStart"/>
      <w:r w:rsidRPr="00A71DC4">
        <w:t>At a Glance</w:t>
      </w:r>
      <w:proofErr w:type="gramEnd"/>
    </w:p>
    <w:p w14:paraId="377BAD5D" w14:textId="77777777" w:rsidR="00A71DC4" w:rsidRPr="00A71DC4" w:rsidRDefault="00A71DC4" w:rsidP="00A71DC4">
      <w:pPr>
        <w:numPr>
          <w:ilvl w:val="0"/>
          <w:numId w:val="1"/>
        </w:numPr>
      </w:pPr>
      <w:r w:rsidRPr="00A71DC4">
        <w:lastRenderedPageBreak/>
        <w:t>A critical end market for plastics, building and construction investment has mostly contracted in last seven quarters.</w:t>
      </w:r>
    </w:p>
    <w:p w14:paraId="1EB68D59" w14:textId="77777777" w:rsidR="00A71DC4" w:rsidRPr="00A71DC4" w:rsidRDefault="00A71DC4" w:rsidP="00A71DC4">
      <w:pPr>
        <w:numPr>
          <w:ilvl w:val="0"/>
          <w:numId w:val="1"/>
        </w:numPr>
      </w:pPr>
      <w:r w:rsidRPr="00A71DC4">
        <w:t xml:space="preserve">Residential construction investment posted </w:t>
      </w:r>
      <w:proofErr w:type="gramStart"/>
      <w:r w:rsidRPr="00A71DC4">
        <w:t>positive growth</w:t>
      </w:r>
      <w:proofErr w:type="gramEnd"/>
      <w:r w:rsidRPr="00A71DC4">
        <w:t xml:space="preserve"> in only two of past seven quarters, hurting plastics demand.</w:t>
      </w:r>
    </w:p>
    <w:p w14:paraId="5C594A86" w14:textId="77777777" w:rsidR="00A71DC4" w:rsidRPr="00A71DC4" w:rsidRDefault="00A71DC4" w:rsidP="00A71DC4">
      <w:pPr>
        <w:numPr>
          <w:ilvl w:val="0"/>
          <w:numId w:val="1"/>
        </w:numPr>
      </w:pPr>
      <w:r w:rsidRPr="00A71DC4">
        <w:t>Mortgage rates declining to 6.1% may gradually support housing recovery and plastics consumption.</w:t>
      </w:r>
    </w:p>
    <w:p w14:paraId="688CE38C" w14:textId="77777777" w:rsidR="00A71DC4" w:rsidRPr="00A71DC4" w:rsidRDefault="00A71DC4" w:rsidP="00A71DC4">
      <w:hyperlink r:id="rId9" w:tgtFrame="_blank" w:history="1">
        <w:r w:rsidRPr="00A71DC4">
          <w:rPr>
            <w:rStyle w:val="Hyperlink"/>
          </w:rPr>
          <w:t>Plastics Industry Association</w:t>
        </w:r>
      </w:hyperlink>
      <w:r w:rsidRPr="00A71DC4">
        <w:t> (PLASTICS) Chief Economist Perc Pineda, PhD, has released an economic analysis examining recent US GDP data and its implications for construction activity and plastics demand as the industry looks toward 2026.</w:t>
      </w:r>
    </w:p>
    <w:p w14:paraId="00026F25" w14:textId="77777777" w:rsidR="00A71DC4" w:rsidRPr="00A71DC4" w:rsidRDefault="00A71DC4" w:rsidP="00A71DC4">
      <w:r w:rsidRPr="00A71DC4">
        <w:t>"The latest revision of third-quarter US Gross Domestic Product (GDP) reaffirmed the resilience of the economy, with output expanding at a robust 4.4% annualized rate," Pineda wrote in his analysis. "Attention now turns to February 20, 2026, when the advance estimate for fourth-quarter GDP will be released. Growth in the fourth quarter is widely expected to have slowed relative to the second and third quarters, reflecting a gradual cooling rather than a reversal in economic momentum."</w:t>
      </w:r>
    </w:p>
    <w:p w14:paraId="786E8686" w14:textId="77777777" w:rsidR="00A71DC4" w:rsidRPr="00A71DC4" w:rsidRDefault="00A71DC4" w:rsidP="00A71DC4">
      <w:r w:rsidRPr="00A71DC4">
        <w:t>Decline in construction investment</w:t>
      </w:r>
    </w:p>
    <w:p w14:paraId="432BC9B4" w14:textId="77777777" w:rsidR="00A71DC4" w:rsidRPr="00A71DC4" w:rsidRDefault="00A71DC4" w:rsidP="00A71DC4">
      <w:r w:rsidRPr="00A71DC4">
        <w:t>Beneath the headline GDP numbers, Pineda noted a familiar pattern: household demand remains strong, with personal consumption expenditures rising 2.5% in the second quarter and 3.5% in the third quarter. "Business fixed investment also posted solid gains, increasing 7.3% and 3.2%, respectively," he explained. "These components continue to anchor overall economic growth."</w:t>
      </w:r>
    </w:p>
    <w:p w14:paraId="67CDB650" w14:textId="77777777" w:rsidR="00A71DC4" w:rsidRPr="00A71DC4" w:rsidRDefault="00A71DC4" w:rsidP="00A71DC4">
      <w:r w:rsidRPr="00A71DC4">
        <w:t xml:space="preserve">However, the building and construction sector, a critical end market for plastics manufacturers, faces a challenging outlook. Investment in nonresidential structures, including commercial buildings, industrial facilities, and data centers, has contracted for seven consecutive quarters. Residential investment has performed slightly better but has only posted </w:t>
      </w:r>
      <w:proofErr w:type="gramStart"/>
      <w:r w:rsidRPr="00A71DC4">
        <w:t>positive growth</w:t>
      </w:r>
      <w:proofErr w:type="gramEnd"/>
      <w:r w:rsidRPr="00A71DC4">
        <w:t xml:space="preserve"> in two of the past seven quarters.</w:t>
      </w:r>
    </w:p>
    <w:p w14:paraId="59D80C21" w14:textId="77777777" w:rsidR="00A71DC4" w:rsidRPr="00A71DC4" w:rsidRDefault="00A71DC4" w:rsidP="00A71DC4">
      <w:r w:rsidRPr="00A71DC4">
        <w:t>"It is unlikely that either category returned to growth in the fourth quarter, making the 2026 outlook critical for sectors tied to building and construction," Pineda said.</w:t>
      </w:r>
    </w:p>
    <w:p w14:paraId="50564280" w14:textId="77777777" w:rsidR="00A71DC4" w:rsidRPr="00A71DC4" w:rsidRDefault="00A71DC4" w:rsidP="00A71DC4">
      <w:r w:rsidRPr="00A71DC4">
        <w:t xml:space="preserve">This prolonged weakness in construction investment has direct implications for plastics manufacturers. According to the PLASTICS 2025 Size and Impact of the US Plastics Industry report, plastic products account for 2.3 cents of every dollar spent on single-family residential structures. In 2024, plastics content in single-family residential construction was valued at $10.1B, with an additional $9.4B tied to other residential </w:t>
      </w:r>
      <w:r w:rsidRPr="00A71DC4">
        <w:lastRenderedPageBreak/>
        <w:t>structures. Commercial structures, including farm buildings, added another $6.9B in plastics content.</w:t>
      </w:r>
    </w:p>
    <w:p w14:paraId="184213A6" w14:textId="77777777" w:rsidR="00A71DC4" w:rsidRPr="00A71DC4" w:rsidRDefault="00A71DC4" w:rsidP="00A71DC4">
      <w:r w:rsidRPr="00A71DC4">
        <w:t>Residential or commercial? Different drivers</w:t>
      </w:r>
    </w:p>
    <w:p w14:paraId="39F89767" w14:textId="77777777" w:rsidR="00A71DC4" w:rsidRPr="00A71DC4" w:rsidRDefault="00A71DC4" w:rsidP="00A71DC4">
      <w:r w:rsidRPr="00A71DC4">
        <w:t>The dynamics of residential and commercial construction differ significantly, influencing plastics demand in unique ways. Residential construction is largely driven by affordability — whether households can buy or rent at prevailing prices, incomes, and borrowing costs. In contrast, commercial construction depends on financial feasibility, with factors like capitalization rates and expected cash flows determining project viability.</w:t>
      </w:r>
    </w:p>
    <w:p w14:paraId="5CDC9E23" w14:textId="77777777" w:rsidR="00A71DC4" w:rsidRPr="00A71DC4" w:rsidRDefault="00A71DC4" w:rsidP="00A71DC4">
      <w:r w:rsidRPr="00A71DC4">
        <w:t>"These differing 'drumbeats' help explain why residential and nonresidential construction often diverge over the business cycle," Pineda explained. For plastics manufacturers, this divergence underscores the importance of monitoring distinct market signals for each segment.</w:t>
      </w:r>
    </w:p>
    <w:p w14:paraId="16AB8EF7" w14:textId="77777777" w:rsidR="00A71DC4" w:rsidRPr="00A71DC4" w:rsidRDefault="00A71DC4" w:rsidP="00A71DC4">
      <w:r w:rsidRPr="00A71DC4">
        <w:t>Plastics demand tied to construction activity</w:t>
      </w:r>
    </w:p>
    <w:p w14:paraId="4E9862EF" w14:textId="77777777" w:rsidR="00A71DC4" w:rsidRPr="00A71DC4" w:rsidRDefault="00A71DC4" w:rsidP="00A71DC4">
      <w:r w:rsidRPr="00A71DC4">
        <w:t>While home sales often dominate headlines, they are not the primary metric for plastics manufacturers. Plastics are used upstream in the construction value chain, embedded in products like pipes, insulation, siding, and flooring. As a result, plastics demand is more closely linked to construction-related manufacturing activity.</w:t>
      </w:r>
    </w:p>
    <w:p w14:paraId="4718566C" w14:textId="77777777" w:rsidR="00A71DC4" w:rsidRPr="00A71DC4" w:rsidRDefault="00A71DC4" w:rsidP="00A71DC4">
      <w:r w:rsidRPr="00A71DC4">
        <w:t xml:space="preserve">Pineda highlights the strong correlation between construction </w:t>
      </w:r>
      <w:proofErr w:type="gramStart"/>
      <w:r w:rsidRPr="00A71DC4">
        <w:t>supplies</w:t>
      </w:r>
      <w:proofErr w:type="gramEnd"/>
      <w:r w:rsidRPr="00A71DC4">
        <w:t xml:space="preserve"> manufacturing and plastics production. "A one-point increase in the Industrial Production Index for construction supplies manufacturing is associated with roughly a 0.6-point increase in plastics production," he explained. This underscores the close connection between physical construction activity and plastics output, with industrial production indices for construction supplies and plastic products manufacturing showing a 0.90 correlation.</w:t>
      </w:r>
    </w:p>
    <w:p w14:paraId="369A0070" w14:textId="77777777" w:rsidR="00A71DC4" w:rsidRPr="00A71DC4" w:rsidRDefault="00A71DC4" w:rsidP="00A71DC4">
      <w:r w:rsidRPr="00A71DC4">
        <w:t>Borrowing costs &amp; labor market dynamics</w:t>
      </w:r>
    </w:p>
    <w:p w14:paraId="4D0FA2FA" w14:textId="77777777" w:rsidR="00A71DC4" w:rsidRPr="00A71DC4" w:rsidRDefault="00A71DC4" w:rsidP="00A71DC4">
      <w:r w:rsidRPr="00A71DC4">
        <w:t xml:space="preserve">The housing market's recent struggles can be traced to higher borrowing costs. The average 30-year fixed mortgage rate climbed from 2.67% in late 2020 to over 7% in 2022, sharply </w:t>
      </w:r>
      <w:proofErr w:type="gramStart"/>
      <w:r w:rsidRPr="00A71DC4">
        <w:t>reducing affordability and slowing</w:t>
      </w:r>
      <w:proofErr w:type="gramEnd"/>
      <w:r w:rsidRPr="00A71DC4">
        <w:t xml:space="preserve"> residential investment. However, financial conditions have begun to ease, with mortgage rates declining to about 6.1% in January 2026. While lower borrowing costs may support housing demand, Pineda cautions that the recovery will be gradual and influenced by labor market conditions and price dynamics.</w:t>
      </w:r>
    </w:p>
    <w:p w14:paraId="6BEC25F0" w14:textId="77777777" w:rsidR="00A71DC4" w:rsidRPr="00A71DC4" w:rsidRDefault="00A71DC4" w:rsidP="00A71DC4">
      <w:r w:rsidRPr="00A71DC4">
        <w:t>Labor availability and input costs remain critical factors shaping the construction market. Tight labor markets can constrain supply even as demand improves, while fluctuating material prices influence project feasibility. Pineda noted that as of November 2025, the Producer Price Index for Building Material and Supplies Dealers showed a modest year-</w:t>
      </w:r>
      <w:r w:rsidRPr="00A71DC4">
        <w:lastRenderedPageBreak/>
        <w:t>over-year decline of 0.09%, signaling some stabilization after sharper decreases earlier in the year.</w:t>
      </w:r>
    </w:p>
    <w:p w14:paraId="5D784F36" w14:textId="77777777" w:rsidR="00A71DC4" w:rsidRPr="00A71DC4" w:rsidRDefault="00A71DC4" w:rsidP="00A71DC4">
      <w:r w:rsidRPr="00A71DC4">
        <w:t>The road ahead</w:t>
      </w:r>
    </w:p>
    <w:p w14:paraId="6B83C187" w14:textId="77777777" w:rsidR="00A71DC4" w:rsidRPr="00A71DC4" w:rsidRDefault="00A71DC4" w:rsidP="00A71DC4">
      <w:r w:rsidRPr="00A71DC4">
        <w:t>For plastics manufacturers, the 2026 outlook hinges on the performance of the construction market. With plastics production closely tied to construction activity, any sustained weakness in building and construction could weigh on the industry. However, Pineda pointed out that easing financial conditions and stabilizing input prices offer some hope for a gradual recovery.</w:t>
      </w:r>
    </w:p>
    <w:p w14:paraId="38A43C00" w14:textId="77777777" w:rsidR="00A71DC4" w:rsidRPr="00A71DC4" w:rsidRDefault="00A71DC4" w:rsidP="00A71DC4">
      <w:r w:rsidRPr="00A71DC4">
        <w:t>"The implication is clear: plastics production follows construction activity, not housing sentiment," he said.</w:t>
      </w:r>
    </w:p>
    <w:p w14:paraId="0F9E8B78" w14:textId="77777777" w:rsidR="00A71DC4" w:rsidRPr="00A71DC4" w:rsidRDefault="00A71DC4" w:rsidP="00A71DC4">
      <w:r w:rsidRPr="00A71DC4">
        <w:t>On the demand side, a strong labor market — marked by solid job growth and low unemployment — tends to support housing demand. The unemployment rate edged up to 4.5% in November before easing to 4.4% in December, while nonfarm job openings declined to 7.1M in November, down from 8.0M a year earlier. Together, these forces will be critical in determining whether construction activity — and plastics demand more broadly — regain momentum in 2026.</w:t>
      </w:r>
    </w:p>
    <w:p w14:paraId="5059284D" w14:textId="77777777" w:rsidR="00A71DC4" w:rsidRPr="00A71DC4" w:rsidRDefault="00A71DC4" w:rsidP="00A71DC4">
      <w:r w:rsidRPr="00A71DC4">
        <w:t>"In 2026, the trajectory of borrowing costs, labor market conditions, and investment in structures will determine whether building and construction shift from a drag to a tailwind for plastics demand," concluded Pineda.</w:t>
      </w:r>
    </w:p>
    <w:p w14:paraId="1412DBA3" w14:textId="77777777" w:rsidR="006A0B48" w:rsidRDefault="006A0B48"/>
    <w:sectPr w:rsidR="006A0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67886"/>
    <w:multiLevelType w:val="multilevel"/>
    <w:tmpl w:val="EB92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C4"/>
    <w:rsid w:val="006A0B48"/>
    <w:rsid w:val="00A71DC4"/>
    <w:rsid w:val="00EC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B2E9"/>
  <w15:chartTrackingRefBased/>
  <w15:docId w15:val="{F215779C-B501-4F01-BF89-63D90882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DC4"/>
    <w:rPr>
      <w:rFonts w:eastAsiaTheme="majorEastAsia" w:cstheme="majorBidi"/>
      <w:color w:val="272727" w:themeColor="text1" w:themeTint="D8"/>
    </w:rPr>
  </w:style>
  <w:style w:type="paragraph" w:styleId="Title">
    <w:name w:val="Title"/>
    <w:basedOn w:val="Normal"/>
    <w:next w:val="Normal"/>
    <w:link w:val="TitleChar"/>
    <w:uiPriority w:val="10"/>
    <w:qFormat/>
    <w:rsid w:val="00A7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DC4"/>
    <w:pPr>
      <w:spacing w:before="160"/>
      <w:jc w:val="center"/>
    </w:pPr>
    <w:rPr>
      <w:i/>
      <w:iCs/>
      <w:color w:val="404040" w:themeColor="text1" w:themeTint="BF"/>
    </w:rPr>
  </w:style>
  <w:style w:type="character" w:customStyle="1" w:styleId="QuoteChar">
    <w:name w:val="Quote Char"/>
    <w:basedOn w:val="DefaultParagraphFont"/>
    <w:link w:val="Quote"/>
    <w:uiPriority w:val="29"/>
    <w:rsid w:val="00A71DC4"/>
    <w:rPr>
      <w:i/>
      <w:iCs/>
      <w:color w:val="404040" w:themeColor="text1" w:themeTint="BF"/>
    </w:rPr>
  </w:style>
  <w:style w:type="paragraph" w:styleId="ListParagraph">
    <w:name w:val="List Paragraph"/>
    <w:basedOn w:val="Normal"/>
    <w:uiPriority w:val="34"/>
    <w:qFormat/>
    <w:rsid w:val="00A71DC4"/>
    <w:pPr>
      <w:ind w:left="720"/>
      <w:contextualSpacing/>
    </w:pPr>
  </w:style>
  <w:style w:type="character" w:styleId="IntenseEmphasis">
    <w:name w:val="Intense Emphasis"/>
    <w:basedOn w:val="DefaultParagraphFont"/>
    <w:uiPriority w:val="21"/>
    <w:qFormat/>
    <w:rsid w:val="00A71DC4"/>
    <w:rPr>
      <w:i/>
      <w:iCs/>
      <w:color w:val="0F4761" w:themeColor="accent1" w:themeShade="BF"/>
    </w:rPr>
  </w:style>
  <w:style w:type="paragraph" w:styleId="IntenseQuote">
    <w:name w:val="Intense Quote"/>
    <w:basedOn w:val="Normal"/>
    <w:next w:val="Normal"/>
    <w:link w:val="IntenseQuoteChar"/>
    <w:uiPriority w:val="30"/>
    <w:qFormat/>
    <w:rsid w:val="00A71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DC4"/>
    <w:rPr>
      <w:i/>
      <w:iCs/>
      <w:color w:val="0F4761" w:themeColor="accent1" w:themeShade="BF"/>
    </w:rPr>
  </w:style>
  <w:style w:type="character" w:styleId="IntenseReference">
    <w:name w:val="Intense Reference"/>
    <w:basedOn w:val="DefaultParagraphFont"/>
    <w:uiPriority w:val="32"/>
    <w:qFormat/>
    <w:rsid w:val="00A71DC4"/>
    <w:rPr>
      <w:b/>
      <w:bCs/>
      <w:smallCaps/>
      <w:color w:val="0F4761" w:themeColor="accent1" w:themeShade="BF"/>
      <w:spacing w:val="5"/>
    </w:rPr>
  </w:style>
  <w:style w:type="character" w:styleId="Hyperlink">
    <w:name w:val="Hyperlink"/>
    <w:basedOn w:val="DefaultParagraphFont"/>
    <w:uiPriority w:val="99"/>
    <w:unhideWhenUsed/>
    <w:rsid w:val="00A71DC4"/>
    <w:rPr>
      <w:color w:val="467886" w:themeColor="hyperlink"/>
      <w:u w:val="single"/>
    </w:rPr>
  </w:style>
  <w:style w:type="character" w:styleId="UnresolvedMention">
    <w:name w:val="Unresolved Mention"/>
    <w:basedOn w:val="DefaultParagraphFont"/>
    <w:uiPriority w:val="99"/>
    <w:semiHidden/>
    <w:unhideWhenUsed/>
    <w:rsid w:val="00A71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plasticstoday.com/author/david-hut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plasticstoday.com/author/david-hutt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sticsindus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973</Words>
  <Characters>6019</Characters>
  <Application>Microsoft Office Word</Application>
  <DocSecurity>0</DocSecurity>
  <Lines>102</Lines>
  <Paragraphs>38</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2026-02-02T12:44:00Z</dcterms:created>
  <dcterms:modified xsi:type="dcterms:W3CDTF">2026-02-02T12:47:00Z</dcterms:modified>
</cp:coreProperties>
</file>