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FCF0" w14:textId="77777777" w:rsidR="001610CD" w:rsidRPr="001610CD" w:rsidRDefault="001610CD" w:rsidP="001610CD">
      <w:pPr>
        <w:spacing w:before="100" w:beforeAutospacing="1" w:after="100" w:afterAutospacing="1" w:line="752" w:lineRule="atLeast"/>
        <w:jc w:val="center"/>
        <w:outlineLvl w:val="0"/>
        <w:rPr>
          <w:rFonts w:ascii="Times New Roman" w:eastAsia="Times New Roman" w:hAnsi="Times New Roman" w:cs="Times New Roman"/>
          <w:b/>
          <w:bCs/>
          <w:color w:val="282828"/>
          <w:kern w:val="36"/>
          <w:sz w:val="48"/>
          <w:szCs w:val="48"/>
        </w:rPr>
      </w:pPr>
      <w:r w:rsidRPr="001610CD">
        <w:rPr>
          <w:rFonts w:ascii="Times New Roman" w:eastAsia="Times New Roman" w:hAnsi="Times New Roman" w:cs="Times New Roman"/>
          <w:b/>
          <w:bCs/>
          <w:color w:val="282828"/>
          <w:kern w:val="36"/>
          <w:sz w:val="48"/>
          <w:szCs w:val="48"/>
        </w:rPr>
        <w:t>Anchor Charts</w:t>
      </w:r>
    </w:p>
    <w:p w14:paraId="371A7FF2" w14:textId="77777777" w:rsidR="001610CD" w:rsidRPr="001610CD" w:rsidRDefault="001610CD" w:rsidP="001610CD">
      <w:pPr>
        <w:spacing w:after="0" w:line="240" w:lineRule="auto"/>
        <w:jc w:val="center"/>
        <w:rPr>
          <w:rFonts w:ascii="Helvetica" w:eastAsia="Times New Roman" w:hAnsi="Helvetica" w:cs="Helvetica"/>
          <w:caps/>
          <w:color w:val="282828"/>
          <w:spacing w:val="17"/>
          <w:sz w:val="27"/>
          <w:szCs w:val="27"/>
        </w:rPr>
      </w:pPr>
      <w:r w:rsidRPr="001610CD">
        <w:rPr>
          <w:rFonts w:ascii="Helvetica" w:eastAsia="Times New Roman" w:hAnsi="Helvetica" w:cs="Helvetica"/>
          <w:caps/>
          <w:color w:val="282828"/>
          <w:spacing w:val="17"/>
          <w:sz w:val="27"/>
          <w:szCs w:val="27"/>
        </w:rPr>
        <w:t>EXPLORING TEXTS THROUGH READ ALOUDS</w:t>
      </w:r>
    </w:p>
    <w:p w14:paraId="0EAB2AF4" w14:textId="77777777" w:rsidR="001610CD" w:rsidRPr="001610CD" w:rsidRDefault="001610CD" w:rsidP="001610CD">
      <w:pPr>
        <w:spacing w:after="0" w:line="240" w:lineRule="auto"/>
        <w:jc w:val="center"/>
        <w:rPr>
          <w:rFonts w:ascii="Helvetica" w:eastAsia="Times New Roman" w:hAnsi="Helvetica" w:cs="Helvetica"/>
          <w:b/>
          <w:bCs/>
          <w:caps/>
          <w:color w:val="282828"/>
          <w:spacing w:val="17"/>
          <w:sz w:val="27"/>
          <w:szCs w:val="27"/>
        </w:rPr>
      </w:pPr>
      <w:r w:rsidRPr="001610CD">
        <w:rPr>
          <w:rFonts w:ascii="Helvetica" w:eastAsia="Times New Roman" w:hAnsi="Helvetica" w:cs="Helvetica"/>
          <w:b/>
          <w:bCs/>
          <w:caps/>
          <w:color w:val="282828"/>
          <w:spacing w:val="17"/>
          <w:sz w:val="27"/>
          <w:szCs w:val="27"/>
        </w:rPr>
        <w:t>GRADE LEVEL</w:t>
      </w:r>
    </w:p>
    <w:p w14:paraId="579B836B" w14:textId="77777777" w:rsidR="001610CD" w:rsidRPr="001610CD" w:rsidRDefault="001610CD" w:rsidP="001610CD">
      <w:pPr>
        <w:spacing w:after="0" w:line="240" w:lineRule="auto"/>
        <w:jc w:val="center"/>
        <w:rPr>
          <w:rFonts w:ascii="Helvetica" w:eastAsia="Times New Roman" w:hAnsi="Helvetica" w:cs="Helvetica"/>
          <w:caps/>
          <w:color w:val="282828"/>
          <w:spacing w:val="17"/>
          <w:sz w:val="27"/>
          <w:szCs w:val="27"/>
        </w:rPr>
      </w:pPr>
      <w:r w:rsidRPr="001610CD">
        <w:rPr>
          <w:rFonts w:ascii="Helvetica" w:eastAsia="Times New Roman" w:hAnsi="Helvetica" w:cs="Helvetica"/>
          <w:caps/>
          <w:color w:val="282828"/>
          <w:spacing w:val="17"/>
          <w:sz w:val="27"/>
          <w:szCs w:val="27"/>
        </w:rPr>
        <w:t> </w:t>
      </w:r>
    </w:p>
    <w:p w14:paraId="040D833B" w14:textId="77777777" w:rsidR="001610CD" w:rsidRPr="001610CD" w:rsidRDefault="001610CD" w:rsidP="001610CD">
      <w:pPr>
        <w:spacing w:after="0" w:line="240" w:lineRule="auto"/>
        <w:jc w:val="center"/>
        <w:rPr>
          <w:rFonts w:ascii="Helvetica" w:eastAsia="Times New Roman" w:hAnsi="Helvetica" w:cs="Helvetica"/>
          <w:b/>
          <w:bCs/>
          <w:caps/>
          <w:color w:val="282828"/>
          <w:spacing w:val="17"/>
          <w:sz w:val="27"/>
          <w:szCs w:val="27"/>
        </w:rPr>
      </w:pPr>
      <w:hyperlink r:id="rId5" w:tgtFrame="_blank" w:history="1">
        <w:r w:rsidRPr="001610CD">
          <w:rPr>
            <w:rFonts w:ascii="Helvetica" w:eastAsia="Times New Roman" w:hAnsi="Helvetica" w:cs="Helvetica"/>
            <w:b/>
            <w:bCs/>
            <w:caps/>
            <w:color w:val="282828"/>
            <w:spacing w:val="17"/>
            <w:sz w:val="27"/>
            <w:szCs w:val="27"/>
            <w:u w:val="single"/>
          </w:rPr>
          <w:t>K-2</w:t>
        </w:r>
      </w:hyperlink>
    </w:p>
    <w:p w14:paraId="22ADBFAE"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bookmarkStart w:id="0" w:name="_GoBack"/>
      <w:bookmarkEnd w:id="0"/>
      <w:r w:rsidRPr="001610CD">
        <w:rPr>
          <w:rFonts w:ascii="Helvetica" w:eastAsia="Times New Roman" w:hAnsi="Helvetica" w:cs="Helvetica"/>
          <w:b/>
          <w:bCs/>
          <w:color w:val="282828"/>
          <w:sz w:val="36"/>
          <w:szCs w:val="36"/>
        </w:rPr>
        <w:t>What?</w:t>
      </w:r>
    </w:p>
    <w:p w14:paraId="7E9F3945"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An anchor chart is an artifact of classroom learning. Like an anchor, it holds students' and teachers' thoughts, ideas and processes in place. Anchor charts can be displayed as reminders of prior learning and built upon over multiple lessons.</w:t>
      </w:r>
    </w:p>
    <w:p w14:paraId="3D64FBB6"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r w:rsidRPr="001610CD">
        <w:rPr>
          <w:rFonts w:ascii="Helvetica" w:eastAsia="Times New Roman" w:hAnsi="Helvetica" w:cs="Helvetica"/>
          <w:b/>
          <w:bCs/>
          <w:color w:val="282828"/>
          <w:sz w:val="36"/>
          <w:szCs w:val="36"/>
        </w:rPr>
        <w:t>When?</w:t>
      </w:r>
    </w:p>
    <w:p w14:paraId="66194178"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Before, during and after reading</w:t>
      </w:r>
    </w:p>
    <w:p w14:paraId="71F175F4"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 </w:t>
      </w:r>
    </w:p>
    <w:p w14:paraId="5746F7EB"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r w:rsidRPr="001610CD">
        <w:rPr>
          <w:rFonts w:ascii="Helvetica" w:eastAsia="Times New Roman" w:hAnsi="Helvetica" w:cs="Helvetica"/>
          <w:b/>
          <w:bCs/>
          <w:color w:val="282828"/>
          <w:sz w:val="36"/>
          <w:szCs w:val="36"/>
        </w:rPr>
        <w:t>Why?</w:t>
      </w:r>
    </w:p>
    <w:p w14:paraId="58A1C9F6"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Children are able to focus on the information they are responsible for learning, and prepare themselves to increase comprehension. Previewing the lesson levels the playing field by providing all students, regardless of prior knowledge or background, with fore knowledge of the read-aloud vocabulary.</w:t>
      </w:r>
    </w:p>
    <w:p w14:paraId="51CDC92B"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 </w:t>
      </w:r>
    </w:p>
    <w:p w14:paraId="5EAB588D"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r w:rsidRPr="001610CD">
        <w:rPr>
          <w:rFonts w:ascii="Helvetica" w:eastAsia="Times New Roman" w:hAnsi="Helvetica" w:cs="Helvetica"/>
          <w:b/>
          <w:bCs/>
          <w:color w:val="282828"/>
          <w:sz w:val="36"/>
          <w:szCs w:val="36"/>
        </w:rPr>
        <w:t>How?</w:t>
      </w:r>
    </w:p>
    <w:p w14:paraId="6E710292"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Choose vocabulary words that are essential to student comprehension from the </w:t>
      </w:r>
      <w:hyperlink r:id="rId6" w:history="1">
        <w:r w:rsidRPr="001610CD">
          <w:rPr>
            <w:rFonts w:ascii="Times New Roman" w:eastAsia="Times New Roman" w:hAnsi="Times New Roman" w:cs="Times New Roman"/>
            <w:color w:val="282828"/>
            <w:sz w:val="27"/>
            <w:szCs w:val="27"/>
            <w:u w:val="single"/>
          </w:rPr>
          <w:t>central text</w:t>
        </w:r>
      </w:hyperlink>
      <w:r w:rsidRPr="001610CD">
        <w:rPr>
          <w:rFonts w:ascii="Times New Roman" w:eastAsia="Times New Roman" w:hAnsi="Times New Roman" w:cs="Times New Roman"/>
          <w:color w:val="282828"/>
          <w:sz w:val="27"/>
          <w:szCs w:val="27"/>
        </w:rPr>
        <w:t> (such as Tier Two and Tier Three vocabulary, academic and domain-specific words, words deserving more attention, transition words and words likely to appear in future texts).</w:t>
      </w:r>
    </w:p>
    <w:p w14:paraId="007C83B8"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Before the read aloud, spend time orally identifying additional contextually relevant words (e.g., the civil rights movement, rights, Constitution, Supreme Court, Ruby Bridges) with students.</w:t>
      </w:r>
    </w:p>
    <w:p w14:paraId="43D5D3E1"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Create an anchor chart for on-going reference in the classroom.</w:t>
      </w:r>
    </w:p>
    <w:p w14:paraId="7D2E34C1"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Use a manipulative to help students conceptualize new vocabulary through original illustration.</w:t>
      </w:r>
    </w:p>
    <w:p w14:paraId="70AAC97F"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lastRenderedPageBreak/>
        <w:t>Ask students to listen for the identified words while they listen to the read aloud.</w:t>
      </w:r>
    </w:p>
    <w:p w14:paraId="6300F0DD"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Return to the text. Ask students questions about the unknown vocabulary words and phrases. Encourage students to use context clues, when possible, to determine meaning.</w:t>
      </w:r>
    </w:p>
    <w:p w14:paraId="3625457F"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Add student answers and definitions to anchor chart. Clarify as necessary.</w:t>
      </w:r>
    </w:p>
    <w:p w14:paraId="4EE7F29A" w14:textId="77777777" w:rsidR="001610CD" w:rsidRPr="001610CD" w:rsidRDefault="001610CD" w:rsidP="001610CD">
      <w:pPr>
        <w:numPr>
          <w:ilvl w:val="0"/>
          <w:numId w:val="2"/>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Extend the learning throughout the week by:</w:t>
      </w:r>
    </w:p>
    <w:p w14:paraId="3352D324" w14:textId="77777777" w:rsidR="001610CD" w:rsidRPr="001610CD" w:rsidRDefault="001610CD" w:rsidP="001610CD">
      <w:pPr>
        <w:numPr>
          <w:ilvl w:val="0"/>
          <w:numId w:val="3"/>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Guiding students to understand relationships between words (sort vocabulary words into categories, make real-life connections, recognize shades of meaning);</w:t>
      </w:r>
    </w:p>
    <w:p w14:paraId="0B7AD3B7" w14:textId="77777777" w:rsidR="001610CD" w:rsidRPr="001610CD" w:rsidRDefault="001610CD" w:rsidP="001610CD">
      <w:pPr>
        <w:numPr>
          <w:ilvl w:val="0"/>
          <w:numId w:val="3"/>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Asking students to look and listen for vocabulary words in conversations, books, television shows and advertisements and to share these observations with the class; </w:t>
      </w:r>
    </w:p>
    <w:p w14:paraId="0218B979" w14:textId="77777777" w:rsidR="001610CD" w:rsidRPr="001610CD" w:rsidRDefault="001610CD" w:rsidP="001610CD">
      <w:pPr>
        <w:numPr>
          <w:ilvl w:val="0"/>
          <w:numId w:val="3"/>
        </w:num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Requiring students to use the vocabulary words in conversations or writing.</w:t>
      </w:r>
    </w:p>
    <w:p w14:paraId="09900DF5"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r w:rsidRPr="001610CD">
        <w:rPr>
          <w:rFonts w:ascii="Helvetica" w:eastAsia="Times New Roman" w:hAnsi="Helvetica" w:cs="Helvetica"/>
          <w:b/>
          <w:bCs/>
          <w:color w:val="282828"/>
          <w:sz w:val="36"/>
          <w:szCs w:val="36"/>
        </w:rPr>
        <w:br/>
        <w:t>English language learners</w:t>
      </w:r>
    </w:p>
    <w:p w14:paraId="76742FEB" w14:textId="77777777" w:rsidR="001610CD" w:rsidRPr="001610CD" w:rsidRDefault="001610CD" w:rsidP="001610CD">
      <w:p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Explicitly teaching words supports language development, but using the word in context allows for a deeper level of understanding. English language learners benefit from the discussion that takes place among classmates to come to consensus the meaning of a new word meaning during the pre-reading oral presentation of the anchor chart. Verbalizing thoughts (as well as listening to others’ view points) provides a context for understanding new vocabulary.</w:t>
      </w:r>
    </w:p>
    <w:p w14:paraId="625F38E1" w14:textId="77777777" w:rsidR="001610CD" w:rsidRPr="001610CD" w:rsidRDefault="001610CD" w:rsidP="001610CD">
      <w:pPr>
        <w:spacing w:before="100" w:beforeAutospacing="1" w:after="100" w:afterAutospacing="1" w:line="240" w:lineRule="auto"/>
        <w:outlineLvl w:val="1"/>
        <w:rPr>
          <w:rFonts w:ascii="Helvetica" w:eastAsia="Times New Roman" w:hAnsi="Helvetica" w:cs="Helvetica"/>
          <w:b/>
          <w:bCs/>
          <w:color w:val="282828"/>
          <w:sz w:val="36"/>
          <w:szCs w:val="36"/>
        </w:rPr>
      </w:pPr>
      <w:r w:rsidRPr="001610CD">
        <w:rPr>
          <w:rFonts w:ascii="Helvetica" w:eastAsia="Times New Roman" w:hAnsi="Helvetica" w:cs="Helvetica"/>
          <w:b/>
          <w:bCs/>
          <w:color w:val="282828"/>
          <w:sz w:val="36"/>
          <w:szCs w:val="36"/>
        </w:rPr>
        <w:br/>
        <w:t>Connection to anti-bias education</w:t>
      </w:r>
    </w:p>
    <w:p w14:paraId="7A15FDA8" w14:textId="77777777" w:rsidR="001610CD" w:rsidRPr="001610CD" w:rsidRDefault="001610CD" w:rsidP="001610CD">
      <w:pPr>
        <w:spacing w:before="100" w:beforeAutospacing="1" w:after="100" w:afterAutospacing="1"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color w:val="282828"/>
          <w:sz w:val="27"/>
          <w:szCs w:val="27"/>
        </w:rPr>
        <w:t>Previewing focuses students’ attention on specific information they will be responsible for learning, so all students can approach the text with the same foundational knowledge. This type of explicit instruction aims to narrow the achievement gap directly associated with vocabulary knowledge, development and access.</w:t>
      </w:r>
    </w:p>
    <w:p w14:paraId="38B101C7" w14:textId="77777777" w:rsidR="001610CD" w:rsidRPr="001610CD" w:rsidRDefault="001610CD" w:rsidP="001610CD">
      <w:pPr>
        <w:spacing w:before="100" w:beforeAutospacing="1" w:after="100" w:afterAutospacing="1" w:line="240" w:lineRule="auto"/>
        <w:outlineLvl w:val="2"/>
        <w:rPr>
          <w:rFonts w:ascii="Helvetica" w:eastAsia="Times New Roman" w:hAnsi="Helvetica" w:cs="Helvetica"/>
          <w:color w:val="282828"/>
          <w:sz w:val="27"/>
          <w:szCs w:val="27"/>
        </w:rPr>
      </w:pPr>
      <w:r w:rsidRPr="001610CD">
        <w:rPr>
          <w:rFonts w:ascii="Helvetica" w:eastAsia="Times New Roman" w:hAnsi="Helvetica" w:cs="Helvetica"/>
          <w:color w:val="282828"/>
          <w:sz w:val="27"/>
          <w:szCs w:val="27"/>
        </w:rPr>
        <w:br/>
        <w:t>Sample anchor charts:</w:t>
      </w:r>
    </w:p>
    <w:p w14:paraId="799E10EC" w14:textId="77777777" w:rsidR="001610CD" w:rsidRPr="001610CD" w:rsidRDefault="001610CD" w:rsidP="001610CD">
      <w:pPr>
        <w:spacing w:after="0" w:line="240" w:lineRule="auto"/>
        <w:rPr>
          <w:rFonts w:ascii="Times New Roman" w:eastAsia="Times New Roman" w:hAnsi="Times New Roman" w:cs="Times New Roman"/>
          <w:color w:val="282828"/>
          <w:sz w:val="27"/>
          <w:szCs w:val="27"/>
        </w:rPr>
      </w:pPr>
      <w:r w:rsidRPr="001610CD">
        <w:rPr>
          <w:rFonts w:ascii="Times New Roman" w:eastAsia="Times New Roman" w:hAnsi="Times New Roman" w:cs="Times New Roman"/>
          <w:noProof/>
          <w:color w:val="282828"/>
          <w:sz w:val="27"/>
          <w:szCs w:val="27"/>
        </w:rPr>
        <w:drawing>
          <wp:inline distT="0" distB="0" distL="0" distR="0" wp14:anchorId="7E44D604" wp14:editId="31D35376">
            <wp:extent cx="3333750" cy="3362325"/>
            <wp:effectExtent l="0" t="0" r="0" b="9525"/>
            <wp:docPr id="2" name="Picture 2" descr="Anchor Charts K-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 Charts K-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62325"/>
                    </a:xfrm>
                    <a:prstGeom prst="rect">
                      <a:avLst/>
                    </a:prstGeom>
                    <a:noFill/>
                    <a:ln>
                      <a:noFill/>
                    </a:ln>
                  </pic:spPr>
                </pic:pic>
              </a:graphicData>
            </a:graphic>
          </wp:inline>
        </w:drawing>
      </w:r>
    </w:p>
    <w:p w14:paraId="3FFC2193" w14:textId="40D6106B" w:rsidR="001610CD" w:rsidRPr="001610CD" w:rsidRDefault="001610CD" w:rsidP="001610CD">
      <w:pPr>
        <w:spacing w:after="0" w:line="240" w:lineRule="auto"/>
        <w:rPr>
          <w:rFonts w:ascii="Times New Roman" w:eastAsia="Times New Roman" w:hAnsi="Times New Roman" w:cs="Times New Roman"/>
          <w:color w:val="282828"/>
          <w:sz w:val="27"/>
          <w:szCs w:val="27"/>
        </w:rPr>
      </w:pPr>
    </w:p>
    <w:p w14:paraId="46A0D759" w14:textId="77777777" w:rsidR="001610CD" w:rsidRDefault="001610CD"/>
    <w:sectPr w:rsidR="001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7ED"/>
    <w:multiLevelType w:val="multilevel"/>
    <w:tmpl w:val="D70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D1DBA"/>
    <w:multiLevelType w:val="multilevel"/>
    <w:tmpl w:val="5D08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C10A3"/>
    <w:multiLevelType w:val="multilevel"/>
    <w:tmpl w:val="03B4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CD"/>
    <w:rsid w:val="0016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1DC7"/>
  <w15:chartTrackingRefBased/>
  <w15:docId w15:val="{AEA24970-F0E1-4014-9CB0-29A2E173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84175">
      <w:bodyDiv w:val="1"/>
      <w:marLeft w:val="0"/>
      <w:marRight w:val="0"/>
      <w:marTop w:val="0"/>
      <w:marBottom w:val="0"/>
      <w:divBdr>
        <w:top w:val="none" w:sz="0" w:space="0" w:color="auto"/>
        <w:left w:val="none" w:sz="0" w:space="0" w:color="auto"/>
        <w:bottom w:val="none" w:sz="0" w:space="0" w:color="auto"/>
        <w:right w:val="none" w:sz="0" w:space="0" w:color="auto"/>
      </w:divBdr>
      <w:divsChild>
        <w:div w:id="176892325">
          <w:marLeft w:val="0"/>
          <w:marRight w:val="0"/>
          <w:marTop w:val="0"/>
          <w:marBottom w:val="0"/>
          <w:divBdr>
            <w:top w:val="none" w:sz="0" w:space="0" w:color="auto"/>
            <w:left w:val="none" w:sz="0" w:space="0" w:color="auto"/>
            <w:bottom w:val="none" w:sz="0" w:space="0" w:color="auto"/>
            <w:right w:val="none" w:sz="0" w:space="0" w:color="auto"/>
          </w:divBdr>
          <w:divsChild>
            <w:div w:id="1737432730">
              <w:marLeft w:val="0"/>
              <w:marRight w:val="0"/>
              <w:marTop w:val="0"/>
              <w:marBottom w:val="0"/>
              <w:divBdr>
                <w:top w:val="none" w:sz="0" w:space="0" w:color="auto"/>
                <w:left w:val="none" w:sz="0" w:space="0" w:color="auto"/>
                <w:bottom w:val="none" w:sz="0" w:space="0" w:color="auto"/>
                <w:right w:val="none" w:sz="0" w:space="0" w:color="auto"/>
              </w:divBdr>
              <w:divsChild>
                <w:div w:id="1201089014">
                  <w:marLeft w:val="0"/>
                  <w:marRight w:val="0"/>
                  <w:marTop w:val="0"/>
                  <w:marBottom w:val="0"/>
                  <w:divBdr>
                    <w:top w:val="none" w:sz="0" w:space="0" w:color="auto"/>
                    <w:left w:val="none" w:sz="0" w:space="0" w:color="auto"/>
                    <w:bottom w:val="none" w:sz="0" w:space="0" w:color="auto"/>
                    <w:right w:val="none" w:sz="0" w:space="0" w:color="auto"/>
                  </w:divBdr>
                </w:div>
                <w:div w:id="1441412516">
                  <w:marLeft w:val="0"/>
                  <w:marRight w:val="0"/>
                  <w:marTop w:val="0"/>
                  <w:marBottom w:val="0"/>
                  <w:divBdr>
                    <w:top w:val="none" w:sz="0" w:space="0" w:color="auto"/>
                    <w:left w:val="none" w:sz="0" w:space="0" w:color="auto"/>
                    <w:bottom w:val="none" w:sz="0" w:space="0" w:color="auto"/>
                    <w:right w:val="none" w:sz="0" w:space="0" w:color="auto"/>
                  </w:divBdr>
                  <w:divsChild>
                    <w:div w:id="1253271546">
                      <w:marLeft w:val="0"/>
                      <w:marRight w:val="0"/>
                      <w:marTop w:val="0"/>
                      <w:marBottom w:val="0"/>
                      <w:divBdr>
                        <w:top w:val="none" w:sz="0" w:space="0" w:color="auto"/>
                        <w:left w:val="none" w:sz="0" w:space="0" w:color="auto"/>
                        <w:bottom w:val="none" w:sz="0" w:space="0" w:color="auto"/>
                        <w:right w:val="none" w:sz="0" w:space="0" w:color="auto"/>
                      </w:divBdr>
                    </w:div>
                    <w:div w:id="1934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666">
          <w:marLeft w:val="0"/>
          <w:marRight w:val="0"/>
          <w:marTop w:val="0"/>
          <w:marBottom w:val="0"/>
          <w:divBdr>
            <w:top w:val="none" w:sz="0" w:space="0" w:color="auto"/>
            <w:left w:val="none" w:sz="0" w:space="0" w:color="auto"/>
            <w:bottom w:val="none" w:sz="0" w:space="0" w:color="auto"/>
            <w:right w:val="none" w:sz="0" w:space="0" w:color="auto"/>
          </w:divBdr>
          <w:divsChild>
            <w:div w:id="578489265">
              <w:marLeft w:val="0"/>
              <w:marRight w:val="0"/>
              <w:marTop w:val="0"/>
              <w:marBottom w:val="0"/>
              <w:divBdr>
                <w:top w:val="none" w:sz="0" w:space="0" w:color="auto"/>
                <w:left w:val="none" w:sz="0" w:space="0" w:color="auto"/>
                <w:bottom w:val="none" w:sz="0" w:space="0" w:color="auto"/>
                <w:right w:val="none" w:sz="0" w:space="0" w:color="auto"/>
              </w:divBdr>
              <w:divsChild>
                <w:div w:id="1080517570">
                  <w:marLeft w:val="0"/>
                  <w:marRight w:val="0"/>
                  <w:marTop w:val="0"/>
                  <w:marBottom w:val="0"/>
                  <w:divBdr>
                    <w:top w:val="none" w:sz="0" w:space="0" w:color="auto"/>
                    <w:left w:val="none" w:sz="0" w:space="0" w:color="auto"/>
                    <w:bottom w:val="none" w:sz="0" w:space="0" w:color="auto"/>
                    <w:right w:val="none" w:sz="0" w:space="0" w:color="auto"/>
                  </w:divBdr>
                </w:div>
                <w:div w:id="1090156496">
                  <w:marLeft w:val="0"/>
                  <w:marRight w:val="0"/>
                  <w:marTop w:val="0"/>
                  <w:marBottom w:val="0"/>
                  <w:divBdr>
                    <w:top w:val="none" w:sz="0" w:space="0" w:color="auto"/>
                    <w:left w:val="none" w:sz="0" w:space="0" w:color="auto"/>
                    <w:bottom w:val="none" w:sz="0" w:space="0" w:color="auto"/>
                    <w:right w:val="none" w:sz="0" w:space="0" w:color="auto"/>
                  </w:divBdr>
                </w:div>
              </w:divsChild>
            </w:div>
            <w:div w:id="1756200232">
              <w:marLeft w:val="0"/>
              <w:marRight w:val="0"/>
              <w:marTop w:val="0"/>
              <w:marBottom w:val="0"/>
              <w:divBdr>
                <w:top w:val="none" w:sz="0" w:space="0" w:color="auto"/>
                <w:left w:val="none" w:sz="0" w:space="0" w:color="auto"/>
                <w:bottom w:val="none" w:sz="0" w:space="0" w:color="auto"/>
                <w:right w:val="none" w:sz="0" w:space="0" w:color="auto"/>
              </w:divBdr>
              <w:divsChild>
                <w:div w:id="1023483972">
                  <w:marLeft w:val="0"/>
                  <w:marRight w:val="0"/>
                  <w:marTop w:val="0"/>
                  <w:marBottom w:val="0"/>
                  <w:divBdr>
                    <w:top w:val="none" w:sz="0" w:space="0" w:color="auto"/>
                    <w:left w:val="none" w:sz="0" w:space="0" w:color="auto"/>
                    <w:bottom w:val="none" w:sz="0" w:space="0" w:color="auto"/>
                    <w:right w:val="none" w:sz="0" w:space="0" w:color="auto"/>
                  </w:divBdr>
                  <w:divsChild>
                    <w:div w:id="167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214">
              <w:marLeft w:val="0"/>
              <w:marRight w:val="0"/>
              <w:marTop w:val="0"/>
              <w:marBottom w:val="0"/>
              <w:divBdr>
                <w:top w:val="none" w:sz="0" w:space="0" w:color="auto"/>
                <w:left w:val="none" w:sz="0" w:space="0" w:color="auto"/>
                <w:bottom w:val="none" w:sz="0" w:space="0" w:color="auto"/>
                <w:right w:val="none" w:sz="0" w:space="0" w:color="auto"/>
              </w:divBdr>
              <w:divsChild>
                <w:div w:id="1342246603">
                  <w:marLeft w:val="0"/>
                  <w:marRight w:val="0"/>
                  <w:marTop w:val="0"/>
                  <w:marBottom w:val="0"/>
                  <w:divBdr>
                    <w:top w:val="none" w:sz="0" w:space="0" w:color="auto"/>
                    <w:left w:val="none" w:sz="0" w:space="0" w:color="auto"/>
                    <w:bottom w:val="none" w:sz="0" w:space="0" w:color="auto"/>
                    <w:right w:val="none" w:sz="0" w:space="0" w:color="auto"/>
                  </w:divBdr>
                  <w:divsChild>
                    <w:div w:id="227346427">
                      <w:marLeft w:val="0"/>
                      <w:marRight w:val="0"/>
                      <w:marTop w:val="0"/>
                      <w:marBottom w:val="0"/>
                      <w:divBdr>
                        <w:top w:val="none" w:sz="0" w:space="0" w:color="auto"/>
                        <w:left w:val="none" w:sz="0" w:space="0" w:color="auto"/>
                        <w:bottom w:val="none" w:sz="0" w:space="0" w:color="auto"/>
                        <w:right w:val="none" w:sz="0" w:space="0" w:color="auto"/>
                      </w:divBdr>
                    </w:div>
                    <w:div w:id="8392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463">
              <w:marLeft w:val="0"/>
              <w:marRight w:val="0"/>
              <w:marTop w:val="0"/>
              <w:marBottom w:val="0"/>
              <w:divBdr>
                <w:top w:val="none" w:sz="0" w:space="0" w:color="auto"/>
                <w:left w:val="none" w:sz="0" w:space="0" w:color="auto"/>
                <w:bottom w:val="none" w:sz="0" w:space="0" w:color="auto"/>
                <w:right w:val="none" w:sz="0" w:space="0" w:color="auto"/>
              </w:divBdr>
              <w:divsChild>
                <w:div w:id="1018122725">
                  <w:marLeft w:val="0"/>
                  <w:marRight w:val="0"/>
                  <w:marTop w:val="0"/>
                  <w:marBottom w:val="0"/>
                  <w:divBdr>
                    <w:top w:val="none" w:sz="0" w:space="0" w:color="auto"/>
                    <w:left w:val="none" w:sz="0" w:space="0" w:color="auto"/>
                    <w:bottom w:val="none" w:sz="0" w:space="0" w:color="auto"/>
                    <w:right w:val="none" w:sz="0" w:space="0" w:color="auto"/>
                  </w:divBdr>
                  <w:divsChild>
                    <w:div w:id="798912942">
                      <w:marLeft w:val="0"/>
                      <w:marRight w:val="0"/>
                      <w:marTop w:val="0"/>
                      <w:marBottom w:val="0"/>
                      <w:divBdr>
                        <w:top w:val="none" w:sz="0" w:space="0" w:color="auto"/>
                        <w:left w:val="none" w:sz="0" w:space="0" w:color="auto"/>
                        <w:bottom w:val="none" w:sz="0" w:space="0" w:color="auto"/>
                        <w:right w:val="none" w:sz="0" w:space="0" w:color="auto"/>
                      </w:divBdr>
                      <w:divsChild>
                        <w:div w:id="10816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528">
                  <w:marLeft w:val="0"/>
                  <w:marRight w:val="0"/>
                  <w:marTop w:val="0"/>
                  <w:marBottom w:val="0"/>
                  <w:divBdr>
                    <w:top w:val="none" w:sz="0" w:space="0" w:color="auto"/>
                    <w:left w:val="none" w:sz="0" w:space="0" w:color="auto"/>
                    <w:bottom w:val="none" w:sz="0" w:space="0" w:color="auto"/>
                    <w:right w:val="none" w:sz="0" w:space="0" w:color="auto"/>
                  </w:divBdr>
                  <w:divsChild>
                    <w:div w:id="1905293164">
                      <w:marLeft w:val="0"/>
                      <w:marRight w:val="0"/>
                      <w:marTop w:val="0"/>
                      <w:marBottom w:val="0"/>
                      <w:divBdr>
                        <w:top w:val="none" w:sz="0" w:space="0" w:color="auto"/>
                        <w:left w:val="none" w:sz="0" w:space="0" w:color="auto"/>
                        <w:bottom w:val="none" w:sz="0" w:space="0" w:color="auto"/>
                        <w:right w:val="none" w:sz="0" w:space="0" w:color="auto"/>
                      </w:divBdr>
                    </w:div>
                    <w:div w:id="432214990">
                      <w:marLeft w:val="0"/>
                      <w:marRight w:val="0"/>
                      <w:marTop w:val="0"/>
                      <w:marBottom w:val="0"/>
                      <w:divBdr>
                        <w:top w:val="none" w:sz="0" w:space="0" w:color="auto"/>
                        <w:left w:val="none" w:sz="0" w:space="0" w:color="auto"/>
                        <w:bottom w:val="none" w:sz="0" w:space="0" w:color="auto"/>
                        <w:right w:val="none" w:sz="0" w:space="0" w:color="auto"/>
                      </w:divBdr>
                    </w:div>
                    <w:div w:id="1152480725">
                      <w:marLeft w:val="0"/>
                      <w:marRight w:val="0"/>
                      <w:marTop w:val="0"/>
                      <w:marBottom w:val="0"/>
                      <w:divBdr>
                        <w:top w:val="none" w:sz="0" w:space="0" w:color="auto"/>
                        <w:left w:val="none" w:sz="0" w:space="0" w:color="auto"/>
                        <w:bottom w:val="none" w:sz="0" w:space="0" w:color="auto"/>
                        <w:right w:val="none" w:sz="0" w:space="0" w:color="auto"/>
                      </w:divBdr>
                    </w:div>
                    <w:div w:id="614143345">
                      <w:marLeft w:val="0"/>
                      <w:marRight w:val="0"/>
                      <w:marTop w:val="0"/>
                      <w:marBottom w:val="0"/>
                      <w:divBdr>
                        <w:top w:val="none" w:sz="0" w:space="0" w:color="auto"/>
                        <w:left w:val="none" w:sz="0" w:space="0" w:color="auto"/>
                        <w:bottom w:val="none" w:sz="0" w:space="0" w:color="auto"/>
                        <w:right w:val="none" w:sz="0" w:space="0" w:color="auto"/>
                      </w:divBdr>
                    </w:div>
                  </w:divsChild>
                </w:div>
                <w:div w:id="834800582">
                  <w:marLeft w:val="0"/>
                  <w:marRight w:val="0"/>
                  <w:marTop w:val="0"/>
                  <w:marBottom w:val="0"/>
                  <w:divBdr>
                    <w:top w:val="none" w:sz="0" w:space="0" w:color="auto"/>
                    <w:left w:val="none" w:sz="0" w:space="0" w:color="auto"/>
                    <w:bottom w:val="none" w:sz="0" w:space="0" w:color="auto"/>
                    <w:right w:val="none" w:sz="0" w:space="0" w:color="auto"/>
                  </w:divBdr>
                </w:div>
                <w:div w:id="738360374">
                  <w:marLeft w:val="0"/>
                  <w:marRight w:val="0"/>
                  <w:marTop w:val="0"/>
                  <w:marBottom w:val="0"/>
                  <w:divBdr>
                    <w:top w:val="none" w:sz="0" w:space="0" w:color="auto"/>
                    <w:left w:val="none" w:sz="0" w:space="0" w:color="auto"/>
                    <w:bottom w:val="none" w:sz="0" w:space="0" w:color="auto"/>
                    <w:right w:val="none" w:sz="0" w:space="0" w:color="auto"/>
                  </w:divBdr>
                </w:div>
                <w:div w:id="1839029703">
                  <w:marLeft w:val="0"/>
                  <w:marRight w:val="0"/>
                  <w:marTop w:val="0"/>
                  <w:marBottom w:val="0"/>
                  <w:divBdr>
                    <w:top w:val="none" w:sz="0" w:space="0" w:color="auto"/>
                    <w:left w:val="none" w:sz="0" w:space="0" w:color="auto"/>
                    <w:bottom w:val="none" w:sz="0" w:space="0" w:color="auto"/>
                    <w:right w:val="none" w:sz="0" w:space="0" w:color="auto"/>
                  </w:divBdr>
                  <w:divsChild>
                    <w:div w:id="16346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3913">
          <w:marLeft w:val="0"/>
          <w:marRight w:val="0"/>
          <w:marTop w:val="0"/>
          <w:marBottom w:val="0"/>
          <w:divBdr>
            <w:top w:val="none" w:sz="0" w:space="0" w:color="auto"/>
            <w:left w:val="none" w:sz="0" w:space="0" w:color="auto"/>
            <w:bottom w:val="none" w:sz="0" w:space="0" w:color="auto"/>
            <w:right w:val="none" w:sz="0" w:space="0" w:color="auto"/>
          </w:divBdr>
          <w:divsChild>
            <w:div w:id="424611468">
              <w:marLeft w:val="0"/>
              <w:marRight w:val="0"/>
              <w:marTop w:val="0"/>
              <w:marBottom w:val="0"/>
              <w:divBdr>
                <w:top w:val="none" w:sz="0" w:space="0" w:color="auto"/>
                <w:left w:val="none" w:sz="0" w:space="0" w:color="auto"/>
                <w:bottom w:val="none" w:sz="0" w:space="0" w:color="auto"/>
                <w:right w:val="none" w:sz="0" w:space="0" w:color="auto"/>
              </w:divBdr>
              <w:divsChild>
                <w:div w:id="8107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lerance.org/node/86070" TargetMode="External"/><Relationship Id="rId5" Type="http://schemas.openxmlformats.org/officeDocument/2006/relationships/hyperlink" Target="https://www.tolerance.org/search?f%5B0%5D=facet_sitewide_grade_level%3A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draliceprince@outlook.com</dc:creator>
  <cp:keywords/>
  <dc:description/>
  <cp:lastModifiedBy>draliceprince@outlook.com</cp:lastModifiedBy>
  <cp:revision>1</cp:revision>
  <dcterms:created xsi:type="dcterms:W3CDTF">2020-01-31T17:20:00Z</dcterms:created>
  <dcterms:modified xsi:type="dcterms:W3CDTF">2020-01-31T17:23:00Z</dcterms:modified>
</cp:coreProperties>
</file>